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5tj876vztfeu" w:id="0"/>
      <w:bookmarkEnd w:id="0"/>
      <w:r w:rsidDel="00000000" w:rsidR="00000000" w:rsidRPr="00000000">
        <w:rPr>
          <w:rtl w:val="0"/>
        </w:rPr>
        <w:t xml:space="preserve">SpecterX Future Versions Log — IDP Sync for Group &amp; User Management </w:t>
      </w:r>
    </w:p>
    <w:p w:rsidR="00000000" w:rsidDel="00000000" w:rsidP="00000000" w:rsidRDefault="00000000" w:rsidRPr="00000000" w14:paraId="00000002">
      <w:pPr>
        <w:numPr>
          <w:ilvl w:val="0"/>
          <w:numId w:val="5"/>
        </w:numPr>
        <w:spacing w:after="0" w:afterAutospacing="0" w:before="240" w:lineRule="auto"/>
        <w:ind w:left="720" w:hanging="360"/>
        <w:rPr>
          <w:rFonts w:ascii="Roboto" w:cs="Roboto" w:eastAsia="Roboto" w:hAnsi="Roboto"/>
          <w:color w:val="2d2d2d"/>
          <w:sz w:val="22"/>
          <w:szCs w:val="22"/>
        </w:rPr>
      </w:pPr>
      <w:r w:rsidDel="00000000" w:rsidR="00000000" w:rsidRPr="00000000">
        <w:rPr>
          <w:b w:val="1"/>
          <w:bCs w:val="1"/>
          <w:rtl w:val="0"/>
        </w:rPr>
        <w:t xml:space="preserve">Last Idea Added:</w:t>
      </w:r>
      <w:r w:rsidDel="00000000" w:rsidR="00000000" w:rsidRPr="00000000">
        <w:rPr>
          <w:rtl w:val="0"/>
        </w:rPr>
        <w:t xml:space="preserve"> Feb. 21 st, 2025</w:t>
      </w:r>
    </w:p>
    <w:p w:rsidR="00000000" w:rsidDel="00000000" w:rsidP="00000000" w:rsidRDefault="00000000" w:rsidRPr="00000000" w14:paraId="00000003">
      <w:pPr>
        <w:numPr>
          <w:ilvl w:val="0"/>
          <w:numId w:val="5"/>
        </w:numPr>
        <w:spacing w:after="0" w:afterAutospacing="0" w:before="0" w:beforeAutospacing="0" w:lineRule="auto"/>
        <w:ind w:left="720" w:hanging="360"/>
        <w:rPr>
          <w:rFonts w:ascii="Roboto" w:cs="Roboto" w:eastAsia="Roboto" w:hAnsi="Roboto"/>
          <w:color w:val="2d2d2d"/>
          <w:sz w:val="22"/>
          <w:szCs w:val="22"/>
        </w:rPr>
      </w:pPr>
      <w:r w:rsidDel="00000000" w:rsidR="00000000" w:rsidRPr="00000000">
        <w:rPr>
          <w:b w:val="1"/>
          <w:bCs w:val="1"/>
          <w:rtl w:val="0"/>
        </w:rPr>
        <w:t xml:space="preserve">Current Product Record Reference:</w:t>
      </w:r>
      <w:r w:rsidDel="00000000" w:rsidR="00000000" w:rsidRPr="00000000">
        <w:rPr>
          <w:rtl w:val="0"/>
        </w:rPr>
        <w:t xml:space="preserve"> </w:t>
      </w:r>
      <w:r w:rsidDel="00000000" w:rsidR="00000000" w:rsidRPr="00000000">
        <w:rPr>
          <w:i w:val="1"/>
          <w:iCs w:val="1"/>
          <w:rtl w:val="0"/>
        </w:rPr>
        <w:t xml:space="preserve">[No record is published?]</w:t>
      </w:r>
    </w:p>
    <w:p w:rsidR="00000000" w:rsidDel="00000000" w:rsidP="00000000" w:rsidRDefault="00000000" w:rsidRPr="00000000" w14:paraId="00000004">
      <w:pPr>
        <w:numPr>
          <w:ilvl w:val="0"/>
          <w:numId w:val="5"/>
        </w:numPr>
        <w:spacing w:after="240" w:before="0" w:beforeAutospacing="0" w:lineRule="auto"/>
        <w:ind w:left="720" w:hanging="360"/>
        <w:rPr>
          <w:rFonts w:ascii="Roboto" w:cs="Roboto" w:eastAsia="Roboto" w:hAnsi="Roboto"/>
          <w:color w:val="2d2d2d"/>
          <w:sz w:val="22"/>
          <w:szCs w:val="22"/>
        </w:rPr>
      </w:pPr>
      <w:r w:rsidDel="00000000" w:rsidR="00000000" w:rsidRPr="00000000">
        <w:rPr>
          <w:b w:val="1"/>
          <w:bCs w:val="1"/>
          <w:rtl w:val="0"/>
        </w:rPr>
        <w:t xml:space="preserve">Current Platform Version Reference:</w:t>
      </w:r>
      <w:r w:rsidDel="00000000" w:rsidR="00000000" w:rsidRPr="00000000">
        <w:rPr>
          <w:rtl w:val="0"/>
        </w:rPr>
        <w:t xml:space="preserve"> V19.</w:t>
      </w:r>
    </w:p>
    <w:p w:rsidR="00000000" w:rsidDel="00000000" w:rsidP="00000000" w:rsidRDefault="00000000" w:rsidRPr="00000000" w14:paraId="00000005">
      <w:pPr>
        <w:pStyle w:val="Heading2"/>
        <w:rPr/>
      </w:pPr>
      <w:bookmarkStart w:colFirst="0" w:colLast="0" w:name="_v0b8zxwdpj82" w:id="1"/>
      <w:bookmarkEnd w:id="1"/>
      <w:r w:rsidDel="00000000" w:rsidR="00000000" w:rsidRPr="00000000">
        <w:rPr>
          <w:rtl w:val="0"/>
        </w:rPr>
        <w:t xml:space="preserve">Overview &amp; Current Limitations</w:t>
      </w:r>
    </w:p>
    <w:p w:rsidR="00000000" w:rsidDel="00000000" w:rsidP="00000000" w:rsidRDefault="00000000" w:rsidRPr="00000000" w14:paraId="00000006">
      <w:pPr>
        <w:spacing w:after="240" w:before="240" w:lineRule="auto"/>
        <w:ind w:left="0" w:firstLine="0"/>
        <w:rPr/>
      </w:pPr>
      <w:r w:rsidDel="00000000" w:rsidR="00000000" w:rsidRPr="00000000">
        <w:rPr>
          <w:rtl w:val="0"/>
        </w:rPr>
        <w:t xml:space="preserve">Group management is provided with minimal functions for the purpose of aligning policy availability by group and applying access permissions at the group level. This Future Versions record is to establish a future path for group management and user management through IDP.</w:t>
      </w:r>
    </w:p>
    <w:p w:rsidR="00000000" w:rsidDel="00000000" w:rsidP="00000000" w:rsidRDefault="00000000" w:rsidRPr="00000000" w14:paraId="00000007">
      <w:pPr>
        <w:spacing w:after="240" w:before="240" w:lineRule="auto"/>
        <w:ind w:left="0" w:firstLine="0"/>
        <w:rPr>
          <w:b w:val="1"/>
          <w:bCs w:val="1"/>
        </w:rPr>
      </w:pPr>
      <w:r w:rsidDel="00000000" w:rsidR="00000000" w:rsidRPr="00000000">
        <w:rPr>
          <w:b w:val="1"/>
          <w:bCs w:val="1"/>
          <w:rtl w:val="0"/>
        </w:rPr>
        <w:t xml:space="preserve">Current Limitations: </w:t>
      </w:r>
    </w:p>
    <w:p w:rsidR="00000000" w:rsidDel="00000000" w:rsidP="00000000" w:rsidRDefault="00000000" w:rsidRPr="00000000" w14:paraId="00000008">
      <w:pPr>
        <w:numPr>
          <w:ilvl w:val="0"/>
          <w:numId w:val="2"/>
        </w:numPr>
        <w:spacing w:after="0" w:afterAutospacing="0" w:before="240" w:lineRule="auto"/>
        <w:ind w:left="720" w:hanging="360"/>
        <w:rPr>
          <w:u w:val="none"/>
        </w:rPr>
      </w:pPr>
      <w:r w:rsidDel="00000000" w:rsidR="00000000" w:rsidRPr="00000000">
        <w:rPr>
          <w:rtl w:val="0"/>
        </w:rPr>
        <w:t xml:space="preserve">Group management is a backend configuration that clients cannot configure. </w:t>
      </w:r>
    </w:p>
    <w:p w:rsidR="00000000" w:rsidDel="00000000" w:rsidP="00000000" w:rsidRDefault="00000000" w:rsidRPr="00000000" w14:paraId="00000009">
      <w:pPr>
        <w:numPr>
          <w:ilvl w:val="0"/>
          <w:numId w:val="2"/>
        </w:numPr>
        <w:spacing w:after="240" w:before="0" w:beforeAutospacing="0" w:lineRule="auto"/>
        <w:ind w:left="720" w:hanging="360"/>
        <w:rPr>
          <w:u w:val="none"/>
        </w:rPr>
      </w:pPr>
      <w:r w:rsidDel="00000000" w:rsidR="00000000" w:rsidRPr="00000000">
        <w:rPr>
          <w:rtl w:val="0"/>
        </w:rPr>
        <w:t xml:space="preserve">Group management is a manual configuration that can’t be managed through the customers IDP and established internal groups. </w:t>
      </w:r>
    </w:p>
    <w:p w:rsidR="00000000" w:rsidDel="00000000" w:rsidP="00000000" w:rsidRDefault="00000000" w:rsidRPr="00000000" w14:paraId="0000000A">
      <w:pPr>
        <w:spacing w:after="240" w:before="240" w:lineRule="auto"/>
        <w:ind w:left="0" w:firstLine="0"/>
        <w:rPr/>
      </w:pPr>
      <w:r w:rsidDel="00000000" w:rsidR="00000000" w:rsidRPr="00000000">
        <w:rPr>
          <w:b w:val="1"/>
          <w:bCs w:val="1"/>
          <w:rtl w:val="0"/>
        </w:rPr>
        <w:t xml:space="preserve">Impact: </w:t>
      </w:r>
      <w:r w:rsidDel="00000000" w:rsidR="00000000" w:rsidRPr="00000000">
        <w:rPr>
          <w:rtl w:val="0"/>
        </w:rPr>
        <w:t xml:space="preserve">User and group management at scale is very difficult within SpecterX and any membership change must be manually corrected and escalated to SpecterX to action. </w:t>
      </w:r>
    </w:p>
    <w:p w:rsidR="00000000" w:rsidDel="00000000" w:rsidP="00000000" w:rsidRDefault="00000000" w:rsidRPr="00000000" w14:paraId="0000000B">
      <w:pPr>
        <w:spacing w:after="240" w:before="240" w:lineRule="auto"/>
        <w:ind w:left="720" w:firstLine="0"/>
        <w:rPr/>
      </w:pPr>
      <w:r w:rsidDel="00000000" w:rsidR="00000000" w:rsidRPr="00000000">
        <w:rPr>
          <w:rtl w:val="0"/>
        </w:rPr>
      </w:r>
    </w:p>
    <w:p w:rsidR="00000000" w:rsidDel="00000000" w:rsidP="00000000" w:rsidRDefault="00000000" w:rsidRPr="00000000" w14:paraId="0000000C">
      <w:pPr>
        <w:pStyle w:val="Heading2"/>
        <w:rPr/>
      </w:pPr>
      <w:bookmarkStart w:colFirst="0" w:colLast="0" w:name="_yijtzc9nwrom" w:id="2"/>
      <w:bookmarkEnd w:id="2"/>
      <w:r w:rsidDel="00000000" w:rsidR="00000000" w:rsidRPr="00000000">
        <w:rPr>
          <w:rtl w:val="0"/>
        </w:rPr>
        <w:t xml:space="preserve">Future Objectives</w:t>
      </w:r>
    </w:p>
    <w:p w:rsidR="00000000" w:rsidDel="00000000" w:rsidP="00000000" w:rsidRDefault="00000000" w:rsidRPr="00000000" w14:paraId="0000000D">
      <w:pPr>
        <w:pStyle w:val="Heading4"/>
        <w:spacing w:after="240" w:before="240" w:lineRule="auto"/>
        <w:rPr/>
      </w:pPr>
      <w:bookmarkStart w:colFirst="0" w:colLast="0" w:name="_ct2bzoygke3b" w:id="3"/>
      <w:bookmarkEnd w:id="3"/>
      <w:r w:rsidDel="00000000" w:rsidR="00000000" w:rsidRPr="00000000">
        <w:rPr>
          <w:rtl w:val="0"/>
        </w:rPr>
        <w:br w:type="textWrapping"/>
        <w:t xml:space="preserve">Sync via IDP Integration for Collaborator Group Membership</w:t>
      </w:r>
    </w:p>
    <w:p w:rsidR="00000000" w:rsidDel="00000000" w:rsidP="00000000" w:rsidRDefault="00000000" w:rsidRPr="00000000" w14:paraId="0000000E">
      <w:pPr>
        <w:numPr>
          <w:ilvl w:val="0"/>
          <w:numId w:val="6"/>
        </w:numPr>
        <w:spacing w:after="0" w:afterAutospacing="0" w:before="240" w:lineRule="auto"/>
        <w:ind w:left="720" w:hanging="360"/>
        <w:rPr>
          <w:u w:val="none"/>
        </w:rPr>
      </w:pPr>
      <w:r w:rsidDel="00000000" w:rsidR="00000000" w:rsidRPr="00000000">
        <w:rPr>
          <w:rtl w:val="0"/>
        </w:rPr>
        <w:t xml:space="preserve">Group management and group membership changes can be automated through integration with the organization’s identity provider for the management.</w:t>
      </w:r>
    </w:p>
    <w:p w:rsidR="00000000" w:rsidDel="00000000" w:rsidP="00000000" w:rsidRDefault="00000000" w:rsidRPr="00000000" w14:paraId="0000000F">
      <w:pPr>
        <w:numPr>
          <w:ilvl w:val="0"/>
          <w:numId w:val="6"/>
        </w:numPr>
        <w:spacing w:after="0" w:afterAutospacing="0" w:before="0" w:beforeAutospacing="0" w:lineRule="auto"/>
        <w:ind w:left="720" w:hanging="360"/>
        <w:rPr>
          <w:u w:val="none"/>
        </w:rPr>
      </w:pPr>
      <w:r w:rsidDel="00000000" w:rsidR="00000000" w:rsidRPr="00000000">
        <w:rPr>
          <w:rtl w:val="0"/>
        </w:rPr>
        <w:t xml:space="preserve">Changes to group membership via IDP would be reflected within SpecterX groups and associated permissions. </w:t>
      </w:r>
    </w:p>
    <w:p w:rsidR="00000000" w:rsidDel="00000000" w:rsidP="00000000" w:rsidRDefault="00000000" w:rsidRPr="00000000" w14:paraId="00000010">
      <w:pPr>
        <w:numPr>
          <w:ilvl w:val="0"/>
          <w:numId w:val="6"/>
        </w:numPr>
        <w:spacing w:after="0" w:afterAutospacing="0" w:before="0" w:beforeAutospacing="0" w:lineRule="auto"/>
        <w:ind w:left="720" w:hanging="360"/>
      </w:pPr>
      <w:r w:rsidDel="00000000" w:rsidR="00000000" w:rsidRPr="00000000">
        <w:rPr>
          <w:rtl w:val="0"/>
        </w:rPr>
        <w:t xml:space="preserve">Interfaces to support group management via the integration would be provided within the admin portal.</w:t>
      </w:r>
    </w:p>
    <w:p w:rsidR="00000000" w:rsidDel="00000000" w:rsidP="00000000" w:rsidRDefault="00000000" w:rsidRPr="00000000" w14:paraId="00000011">
      <w:pPr>
        <w:numPr>
          <w:ilvl w:val="1"/>
          <w:numId w:val="6"/>
        </w:numPr>
        <w:spacing w:after="240" w:before="0" w:beforeAutospacing="0" w:lineRule="auto"/>
        <w:ind w:left="1440" w:hanging="360"/>
        <w:rPr>
          <w:u w:val="none"/>
        </w:rPr>
      </w:pPr>
      <w:r w:rsidDel="00000000" w:rsidR="00000000" w:rsidRPr="00000000">
        <w:rPr>
          <w:rtl w:val="0"/>
        </w:rPr>
        <w:t xml:space="preserve">SpecterX management interfaces would need to allow for/address group within group management handling. </w:t>
      </w:r>
    </w:p>
    <w:p w:rsidR="00000000" w:rsidDel="00000000" w:rsidP="00000000" w:rsidRDefault="00000000" w:rsidRPr="00000000" w14:paraId="00000012">
      <w:pPr>
        <w:pStyle w:val="Heading4"/>
        <w:spacing w:after="240" w:before="240" w:lineRule="auto"/>
        <w:rPr/>
      </w:pPr>
      <w:bookmarkStart w:colFirst="0" w:colLast="0" w:name="_yntnej4q8o1w" w:id="4"/>
      <w:bookmarkEnd w:id="4"/>
      <w:r w:rsidDel="00000000" w:rsidR="00000000" w:rsidRPr="00000000">
        <w:rPr>
          <w:rtl w:val="0"/>
        </w:rPr>
        <w:t xml:space="preserve">IDP Integration for MSP Management Roles</w:t>
      </w:r>
    </w:p>
    <w:p w:rsidR="00000000" w:rsidDel="00000000" w:rsidP="00000000" w:rsidRDefault="00000000" w:rsidRPr="00000000" w14:paraId="00000013">
      <w:pPr>
        <w:numPr>
          <w:ilvl w:val="0"/>
          <w:numId w:val="4"/>
        </w:numPr>
        <w:ind w:left="720" w:hanging="360"/>
        <w:rPr>
          <w:u w:val="none"/>
        </w:rPr>
      </w:pPr>
      <w:r w:rsidDel="00000000" w:rsidR="00000000" w:rsidRPr="00000000">
        <w:rPr>
          <w:rtl w:val="0"/>
        </w:rPr>
        <w:t xml:space="preserve">Allowing for IDP sync for group management to also support access role management at the MSP Portfolio level, allowing group membership to be used for bulk permission assignment and access roles to end client tenants for technical, support, and sales team members.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4"/>
        <w:rPr/>
      </w:pPr>
      <w:bookmarkStart w:colFirst="0" w:colLast="0" w:name="_j1ioev5if0zi" w:id="5"/>
      <w:bookmarkEnd w:id="5"/>
      <w:r w:rsidDel="00000000" w:rsidR="00000000" w:rsidRPr="00000000">
        <w:rPr>
          <w:rtl w:val="0"/>
        </w:rPr>
        <w:t xml:space="preserve">IDP Integration for License Management</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Allow for IDP sync to support automated licensed user management as well as manual exceptions. </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Allow IDP sync to support user onboarding and offboarding dictated and sync changes to SpecterX license management panes. </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Build in workflows for file ownership reassignment for offboarding users that supports client business workflows.</w:t>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pStyle w:val="Heading4"/>
        <w:rPr/>
      </w:pPr>
      <w:bookmarkStart w:colFirst="0" w:colLast="0" w:name="_hyvlk6m1xqsf" w:id="6"/>
      <w:bookmarkEnd w:id="6"/>
      <w:r w:rsidDel="00000000" w:rsidR="00000000" w:rsidRPr="00000000">
        <w:rPr>
          <w:rtl w:val="0"/>
        </w:rPr>
        <w:t xml:space="preserve">IDP Integration for Data Role Management of Collaborators</w:t>
      </w:r>
    </w:p>
    <w:p w:rsidR="00000000" w:rsidDel="00000000" w:rsidP="00000000" w:rsidRDefault="00000000" w:rsidRPr="00000000" w14:paraId="0000001B">
      <w:pPr>
        <w:numPr>
          <w:ilvl w:val="0"/>
          <w:numId w:val="3"/>
        </w:numPr>
        <w:ind w:left="720" w:hanging="360"/>
        <w:rPr>
          <w:u w:val="none"/>
        </w:rPr>
      </w:pPr>
      <w:r w:rsidDel="00000000" w:rsidR="00000000" w:rsidRPr="00000000">
        <w:rPr>
          <w:rtl w:val="0"/>
        </w:rPr>
        <w:t xml:space="preserve">Current WebUI portals allow for an Admin role that has visibility across files logs across all users. As group management and admin roles are redefined and separated from the Collaborator experience, we anticipate the need for some form of hierarchy across Collaborator users that may need file authority to see logs and/or make permission changes across user groups. </w:t>
      </w:r>
    </w:p>
    <w:p w:rsidR="00000000" w:rsidDel="00000000" w:rsidP="00000000" w:rsidRDefault="00000000" w:rsidRPr="00000000" w14:paraId="0000001C">
      <w:pPr>
        <w:numPr>
          <w:ilvl w:val="0"/>
          <w:numId w:val="3"/>
        </w:numPr>
        <w:ind w:left="720" w:hanging="360"/>
        <w:rPr>
          <w:u w:val="none"/>
        </w:rPr>
      </w:pPr>
      <w:r w:rsidDel="00000000" w:rsidR="00000000" w:rsidRPr="00000000">
        <w:rPr>
          <w:rtl w:val="0"/>
        </w:rPr>
        <w:t xml:space="preserve">This framework is currently not supported by group management or existing roles. This could potentially be ingested from the IDP or built into SpecterX group management interfaces and logic.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rPr/>
      </w:pPr>
      <w:bookmarkStart w:colFirst="0" w:colLast="0" w:name="_d32vyenb9kfy" w:id="7"/>
      <w:bookmarkEnd w:id="7"/>
      <w:r w:rsidDel="00000000" w:rsidR="00000000" w:rsidRPr="00000000">
        <w:rPr>
          <w:rtl w:val="0"/>
        </w:rPr>
        <w:t xml:space="preserve">Notes on Group Capabilities – Current Customer Requests with Ido Ben Tora - March 17th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numPr>
          <w:ilvl w:val="0"/>
          <w:numId w:val="7"/>
        </w:numPr>
        <w:ind w:left="720" w:hanging="360"/>
        <w:rPr>
          <w:u w:val="none"/>
        </w:rPr>
      </w:pPr>
      <w:r w:rsidDel="00000000" w:rsidR="00000000" w:rsidRPr="00000000">
        <w:rPr>
          <w:rtl w:val="0"/>
        </w:rPr>
        <w:t xml:space="preserve">Fireblocks </w:t>
      </w:r>
    </w:p>
    <w:p w:rsidR="00000000" w:rsidDel="00000000" w:rsidP="00000000" w:rsidRDefault="00000000" w:rsidRPr="00000000" w14:paraId="00000021">
      <w:pPr>
        <w:numPr>
          <w:ilvl w:val="1"/>
          <w:numId w:val="7"/>
        </w:numPr>
        <w:ind w:left="1440" w:hanging="360"/>
        <w:rPr>
          <w:u w:val="none"/>
        </w:rPr>
      </w:pPr>
      <w:r w:rsidDel="00000000" w:rsidR="00000000" w:rsidRPr="00000000">
        <w:rPr>
          <w:rtl w:val="0"/>
        </w:rPr>
        <w:t xml:space="preserve">Wants to limit policy availability by Groups</w:t>
      </w:r>
    </w:p>
    <w:p w:rsidR="00000000" w:rsidDel="00000000" w:rsidP="00000000" w:rsidRDefault="00000000" w:rsidRPr="00000000" w14:paraId="00000022">
      <w:pPr>
        <w:numPr>
          <w:ilvl w:val="1"/>
          <w:numId w:val="7"/>
        </w:numPr>
        <w:ind w:left="1440" w:hanging="360"/>
        <w:rPr>
          <w:u w:val="none"/>
        </w:rPr>
      </w:pPr>
      <w:r w:rsidDel="00000000" w:rsidR="00000000" w:rsidRPr="00000000">
        <w:rPr>
          <w:rtl w:val="0"/>
        </w:rPr>
        <w:t xml:space="preserve">This is a blocker for full deployment </w:t>
      </w:r>
    </w:p>
    <w:p w:rsidR="00000000" w:rsidDel="00000000" w:rsidP="00000000" w:rsidRDefault="00000000" w:rsidRPr="00000000" w14:paraId="00000023">
      <w:pPr>
        <w:numPr>
          <w:ilvl w:val="0"/>
          <w:numId w:val="7"/>
        </w:numPr>
        <w:ind w:left="720" w:hanging="360"/>
        <w:rPr>
          <w:u w:val="none"/>
        </w:rPr>
      </w:pPr>
      <w:r w:rsidDel="00000000" w:rsidR="00000000" w:rsidRPr="00000000">
        <w:rPr>
          <w:rtl w:val="0"/>
        </w:rPr>
        <w:t xml:space="preserve">IPS</w:t>
      </w:r>
    </w:p>
    <w:p w:rsidR="00000000" w:rsidDel="00000000" w:rsidP="00000000" w:rsidRDefault="00000000" w:rsidRPr="00000000" w14:paraId="00000024">
      <w:pPr>
        <w:numPr>
          <w:ilvl w:val="1"/>
          <w:numId w:val="7"/>
        </w:numPr>
        <w:ind w:left="1440" w:hanging="360"/>
        <w:rPr>
          <w:u w:val="none"/>
        </w:rPr>
      </w:pPr>
      <w:r w:rsidDel="00000000" w:rsidR="00000000" w:rsidRPr="00000000">
        <w:rPr>
          <w:rtl w:val="0"/>
        </w:rPr>
        <w:t xml:space="preserve">IPS wants a similar function but via PGR,  to use group membership as a condition for sender and recipient conditions </w:t>
      </w:r>
    </w:p>
    <w:p w:rsidR="00000000" w:rsidDel="00000000" w:rsidP="00000000" w:rsidRDefault="00000000" w:rsidRPr="00000000" w14:paraId="00000025">
      <w:pPr>
        <w:numPr>
          <w:ilvl w:val="1"/>
          <w:numId w:val="7"/>
        </w:numPr>
        <w:ind w:left="1440" w:hanging="360"/>
        <w:rPr>
          <w:u w:val="none"/>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sectPr>
      <w:headerReference r:id="rId6" w:type="default"/>
      <w:footerReference r:id="rId7" w:type="default"/>
      <w:pgSz w:h="15840" w:w="12240" w:orient="portrait"/>
      <w:pgMar w:bottom="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tabs>
        <w:tab w:val="center" w:leader="none" w:pos="4680"/>
        <w:tab w:val="right" w:leader="none" w:pos="9360"/>
      </w:tabs>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-904874</wp:posOffset>
          </wp:positionH>
          <wp:positionV relativeFrom="paragraph">
            <wp:posOffset>190500</wp:posOffset>
          </wp:positionV>
          <wp:extent cx="7770495" cy="448310"/>
          <wp:effectExtent b="0" l="0" r="0" t="0"/>
          <wp:wrapSquare wrapText="bothSides" distB="0" distT="0" distL="0" distR="0"/>
          <wp:docPr descr="footer graphic" id="4" name="image1.png"/>
          <a:graphic>
            <a:graphicData uri="http://schemas.openxmlformats.org/drawingml/2006/picture">
              <pic:pic>
                <pic:nvPicPr>
                  <pic:cNvPr descr="footer graphic" id="0" name="image1.png"/>
                  <pic:cNvPicPr preferRelativeResize="0"/>
                </pic:nvPicPr>
                <pic:blipFill>
                  <a:blip r:embed="rId1"/>
                  <a:srcRect b="4464" l="0" r="0" t="-4464"/>
                  <a:stretch>
                    <a:fillRect/>
                  </a:stretch>
                </pic:blipFill>
                <pic:spPr>
                  <a:xfrm>
                    <a:off x="0" y="0"/>
                    <a:ext cx="7770495" cy="448310"/>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2" name=""/>
              <a:graphic>
                <a:graphicData uri="http://schemas.microsoft.com/office/word/2010/wordprocessingShape">
                  <wps:wsp>
                    <wps:cNvSpPr/>
                    <wps:cNvPr id="3" name="Shape 3"/>
                    <wps:spPr>
                      <a:xfrm>
                        <a:off x="4751420" y="3596359"/>
                        <a:ext cx="1189160" cy="36728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   SpecterX©</w:t>
                          </w:r>
                        </w:p>
                      </w:txbxContent>
                    </wps:txbx>
                    <wps:bodyPr anchorCtr="0" anchor="t"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2"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1198685" cy="376808"/>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213859"/>
              <wp:effectExtent b="0" l="0" r="0" t="0"/>
              <wp:wrapTopAndBottom distB="114300" distT="114300"/>
              <wp:docPr id="1" name=""/>
              <a:graphic>
                <a:graphicData uri="http://schemas.microsoft.com/office/word/2010/wordprocessingShape">
                  <wps:wsp>
                    <wps:cNvSpPr/>
                    <wps:cNvPr id="2" name="Shape 2"/>
                    <wps:spPr>
                      <a:xfrm>
                        <a:off x="978850" y="3524250"/>
                        <a:ext cx="6089100" cy="511500"/>
                      </a:xfrm>
                      <a:prstGeom prst="rect">
                        <a:avLst/>
                      </a:prstGeom>
                      <a:noFill/>
                      <a:ln>
                        <a:noFill/>
                      </a:ln>
                    </wps:spPr>
                    <wps:txbx>
                      <w:txbxContent>
                        <w:p w:rsidR="00000000" w:rsidDel="00000000" w:rsidP="00000000" w:rsidRDefault="00000000" w:rsidRPr="00000000">
                          <w:pPr>
                            <w:spacing w:after="0" w:before="0" w:line="334.9999809265137"/>
                            <w:ind w:left="-15" w:right="0" w:firstLine="-60"/>
                            <w:jc w:val="right"/>
                            <w:textDirection w:val="btLr"/>
                          </w:pPr>
                          <w:r w:rsidDel="00000000" w:rsidR="00000000" w:rsidRPr="00000000">
                            <w:rPr>
                              <w:rFonts w:ascii="Roboto" w:cs="Roboto" w:eastAsia="Roboto" w:hAnsi="Roboto"/>
                              <w:b w:val="0"/>
                              <w:i w:val="0"/>
                              <w:smallCaps w:val="0"/>
                              <w:strike w:val="0"/>
                              <w:color w:val="cccccc"/>
                              <w:sz w:val="26"/>
                              <w:vertAlign w:val="baseline"/>
                            </w:rPr>
                            <w:t xml:space="preserve">SpecterX Future Versions Log — IDP Sync for Group &amp; User Management</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213859"/>
              <wp:effectExtent b="0" l="0" r="0" t="0"/>
              <wp:wrapTopAndBottom distB="114300" distT="114300"/>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2447925" cy="213859"/>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5991225</wp:posOffset>
          </wp:positionH>
          <wp:positionV relativeFrom="paragraph">
            <wp:posOffset>-457197</wp:posOffset>
          </wp:positionV>
          <wp:extent cx="871538" cy="871538"/>
          <wp:effectExtent b="0" l="0" r="0" t="0"/>
          <wp:wrapTopAndBottom distB="0" distT="0"/>
          <wp:docPr descr="corner graphic" id="3" name="image3.png"/>
          <a:graphic>
            <a:graphicData uri="http://schemas.openxmlformats.org/drawingml/2006/picture">
              <pic:pic>
                <pic:nvPicPr>
                  <pic:cNvPr descr="corner graphic" id="0" name="image3.png"/>
                  <pic:cNvPicPr preferRelativeResize="0"/>
                </pic:nvPicPr>
                <pic:blipFill>
                  <a:blip r:embed="rId2"/>
                  <a:srcRect b="0" l="0" r="0" t="0"/>
                  <a:stretch>
                    <a:fillRect/>
                  </a:stretch>
                </pic:blipFill>
                <pic:spPr>
                  <a:xfrm>
                    <a:off x="0" y="0"/>
                    <a:ext cx="871538" cy="8715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-742948</wp:posOffset>
          </wp:positionH>
          <wp:positionV relativeFrom="paragraph">
            <wp:posOffset>-314322</wp:posOffset>
          </wp:positionV>
          <wp:extent cx="1610226" cy="419100"/>
          <wp:effectExtent b="0" l="0" r="0" t="0"/>
          <wp:wrapTopAndBottom distB="114300" distT="114300"/>
          <wp:docPr id="5"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1610226" cy="4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2d2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80" w:line="360" w:lineRule="auto"/>
    </w:pPr>
    <w:rPr>
      <w:color w:val="666666"/>
      <w:sz w:val="42"/>
      <w:szCs w:val="42"/>
    </w:rPr>
  </w:style>
  <w:style w:type="paragraph" w:styleId="Heading2">
    <w:name w:val="heading 2"/>
    <w:basedOn w:val="Normal"/>
    <w:next w:val="Normal"/>
    <w:pPr>
      <w:pBdr>
        <w:bottom w:color="45e3d4" w:space="2" w:sz="8" w:val="single"/>
      </w:pBdr>
      <w:spacing w:after="200" w:before="200" w:lineRule="auto"/>
    </w:pPr>
    <w:rPr>
      <w:rFonts w:ascii="Arial" w:cs="Arial" w:eastAsia="Arial" w:hAnsi="Arial"/>
      <w:color w:val="091f56"/>
      <w:sz w:val="32"/>
      <w:szCs w:val="32"/>
    </w:rPr>
  </w:style>
  <w:style w:type="paragraph" w:styleId="Heading3">
    <w:name w:val="heading 3"/>
    <w:basedOn w:val="Normal"/>
    <w:next w:val="Normal"/>
    <w:pPr>
      <w:spacing w:after="200" w:before="200" w:lineRule="auto"/>
    </w:pPr>
    <w:rPr>
      <w:rFonts w:ascii="Arial" w:cs="Arial" w:eastAsia="Arial" w:hAnsi="Arial"/>
      <w:b w:val="1"/>
      <w:bCs w:val="1"/>
      <w:color w:val="091f56"/>
      <w:sz w:val="24"/>
      <w:szCs w:val="24"/>
    </w:rPr>
  </w:style>
  <w:style w:type="paragraph" w:styleId="Heading4">
    <w:name w:val="heading 4"/>
    <w:basedOn w:val="Normal"/>
    <w:next w:val="Normal"/>
    <w:pPr>
      <w:keepNext w:val="1"/>
      <w:keepLines w:val="1"/>
      <w:spacing w:after="200" w:before="200" w:lineRule="auto"/>
    </w:pPr>
    <w:rPr>
      <w:color w:val="6b96e6"/>
      <w:sz w:val="24"/>
      <w:szCs w:val="24"/>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b w:val="1"/>
      <w:bCs w:val="1"/>
      <w:color w:val="6b96e6"/>
    </w:rPr>
  </w:style>
  <w:style w:type="paragraph" w:styleId="Title">
    <w:name w:val="Title"/>
    <w:basedOn w:val="Normal"/>
    <w:next w:val="Normal"/>
    <w:pPr>
      <w:spacing w:before="400" w:line="240" w:lineRule="auto"/>
    </w:pPr>
    <w:rPr>
      <w:color w:val="0b5394"/>
      <w:sz w:val="52"/>
      <w:szCs w:val="52"/>
    </w:rPr>
  </w:style>
  <w:style w:type="paragraph" w:styleId="Subtitle">
    <w:name w:val="Subtitle"/>
    <w:basedOn w:val="Normal"/>
    <w:next w:val="Normal"/>
    <w:pPr/>
    <w:rPr>
      <w:color w:val="3c78d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