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7FFFD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kvcmr193gbq4" w:id="0"/>
      <w:bookmarkEnd w:id="0"/>
      <w:r w:rsidDel="00000000" w:rsidR="00000000" w:rsidRPr="00000000">
        <w:rPr>
          <w:rtl w:val="0"/>
        </w:rPr>
        <w:t xml:space="preserve">Components - Organized names and categories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Storage Integration / Amazon S3 Storage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Storage Integration / SharePoint Storage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Storage Integration / Google Cloud Storage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Identity Integration / Okta Identity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Identity Integration / Entra 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Identity Integration / Google Cloud Identity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DLP Integration / DLP Web Client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DLP Integration / DLP Mailflow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CDR Integration / Opswat CDR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Classification Integration / Microsoft Purview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Mailflow Integration / Outlook Classic Add-in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Mailflow Integration / Outlook New Add-in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Mailflow Integration / Gmail Browser Extension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Mailflow Integration / Mail Protection Server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Share-in-Place Connector / Google Drive Connector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Share-in-Place Connector / SharePoint Connector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Messaging Connector / Slack Connector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Salesforce Report Export / Salesforce Browser Extension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Salesforce Report Export / Salesforce Reports Connector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SpecterX Viewer / SpecterX Office Viewer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SpecterX Viewer / SpecterX PDF Viewer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SpecterX Viewer / SpecterX WOPI Host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External Open-With / Open with Adobe Desktop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External Open-With / Open with Microsoft Edge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External Open-With / Open with Native Office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External Open-With / Open with Google Drive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On-Prem Gateway / SpecterX Gateway (On-Prem)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On-Prem Gateway / SpecterX Gateway Storage Connector (On-Prem)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On-Prem Gateway / Active Directory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80" w:before="280" w:lineRule="auto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2x60f3dznedn" w:id="1"/>
      <w:bookmarkEnd w:id="1"/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0"/>
        </w:rPr>
        <w:t xml:space="preserve">Integration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background relationship between SpecterX and an external system</w:t>
      </w:r>
      <w:r w:rsidDel="00000000" w:rsidR="00000000" w:rsidRPr="00000000">
        <w:rPr>
          <w:rtl w:val="0"/>
        </w:rPr>
        <w:t xml:space="preserve"> for exchanging data, identity signals, or policy/classification metadata. The end user typically doesn't choose to use it or even know it's there — it's plumbing configured by an admin and operates automatically once enabled.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Test: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if you removed it, would a normal user notice immediately, or would things just silently get worse (no SSO, no DLP scanning, no classification labels)? Silent degradation → Integration.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Storage Integration, Identity Integration, DLP Integration, CDR Integration, Classification Integration, Mailflow Integration.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Edge case worth naming:</w:t>
      </w:r>
      <w:r w:rsidDel="00000000" w:rsidR="00000000" w:rsidRPr="00000000">
        <w:rPr>
          <w:rtl w:val="0"/>
        </w:rPr>
        <w:t xml:space="preserve"> Mailflow Integration is on the line — users do </w:t>
      </w:r>
      <w:r w:rsidDel="00000000" w:rsidR="00000000" w:rsidRPr="00000000">
        <w:rPr>
          <w:i w:val="1"/>
          <w:iCs w:val="1"/>
          <w:rtl w:val="0"/>
        </w:rPr>
        <w:t xml:space="preserve">see</w:t>
      </w:r>
      <w:r w:rsidDel="00000000" w:rsidR="00000000" w:rsidRPr="00000000">
        <w:rPr>
          <w:rtl w:val="0"/>
        </w:rPr>
        <w:t xml:space="preserve"> its effects (sharing flow inside Outlook), but the integration itself is admin-configured plumbing that intercepts mail. The Add-ins under it are the user-facing pieces; the Mail Protection Server is pure plumbing. The umbrella stays "Integration" because that's what the whole product category is, even though some sub-components are user-facing.</w:t>
      </w:r>
    </w:p>
    <w:p w:rsidR="00000000" w:rsidDel="00000000" w:rsidP="00000000" w:rsidRDefault="00000000" w:rsidRPr="00000000" w14:paraId="0000002E">
      <w:pPr>
        <w:pStyle w:val="Heading3"/>
        <w:spacing w:after="80" w:before="280" w:lineRule="auto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d84xi5dy1sly" w:id="2"/>
      <w:bookmarkEnd w:id="2"/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0"/>
        </w:rPr>
        <w:t xml:space="preserve">Connector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user-facing surface that lets the user actively do something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through</w:t>
      </w:r>
      <w:r w:rsidDel="00000000" w:rsidR="00000000" w:rsidRPr="00000000">
        <w:rPr>
          <w:b w:val="1"/>
          <w:bCs w:val="1"/>
          <w:rtl w:val="0"/>
        </w:rPr>
        <w:t xml:space="preserve"> SpecterX into a specific third-party app.</w:t>
      </w:r>
      <w:r w:rsidDel="00000000" w:rsidR="00000000" w:rsidRPr="00000000">
        <w:rPr>
          <w:rtl w:val="0"/>
        </w:rPr>
        <w:t xml:space="preserve"> The user chooses to invoke it, knows which app they're targeting, and the third-party app's name shows up in the UI.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Test: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does the end user click a button that mentions the third-party app by name (Slack, Google Drive, Salesforce)? Yes → Connector.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Share-in-Place Connectors (Google Drive, SharePoint), Messaging Connectors (Slack), Salesforce Reports Connector.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Difference from Integration:</w:t>
      </w:r>
      <w:r w:rsidDel="00000000" w:rsidR="00000000" w:rsidRPr="00000000">
        <w:rPr>
          <w:rtl w:val="0"/>
        </w:rPr>
        <w:t xml:space="preserve"> Integration is "SpecterX silently talks to Okta in the background." Connector is "user clicks 'Share to Slack' and SpecterX hands it off."</w:t>
      </w:r>
    </w:p>
    <w:p w:rsidR="00000000" w:rsidDel="00000000" w:rsidP="00000000" w:rsidRDefault="00000000" w:rsidRPr="00000000" w14:paraId="00000033">
      <w:pPr>
        <w:pStyle w:val="Heading3"/>
        <w:spacing w:after="80" w:before="280" w:lineRule="auto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c0qpard786t7" w:id="3"/>
      <w:bookmarkEnd w:id="3"/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0"/>
        </w:rPr>
        <w:t xml:space="preserve">Share-in-Place Connector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specific kind of Connector</w:t>
      </w:r>
      <w:r w:rsidDel="00000000" w:rsidR="00000000" w:rsidRPr="00000000">
        <w:rPr>
          <w:rtl w:val="0"/>
        </w:rPr>
        <w:t xml:space="preserve"> where the user shares a file that stays </w:t>
      </w:r>
      <w:r w:rsidDel="00000000" w:rsidR="00000000" w:rsidRPr="00000000">
        <w:rPr>
          <w:i w:val="1"/>
          <w:iCs w:val="1"/>
          <w:rtl w:val="0"/>
        </w:rPr>
        <w:t xml:space="preserve">in its original storage location</w:t>
      </w:r>
      <w:r w:rsidDel="00000000" w:rsidR="00000000" w:rsidRPr="00000000">
        <w:rPr>
          <w:rtl w:val="0"/>
        </w:rPr>
        <w:t xml:space="preserve"> — SpecterX adds protection and access control without moving or copying the file out. Google Drive and SharePoint Share-in-Place Connectors let users share existing Drive/SharePoint files under SpecterX policy, rather than uploading a fresh copy to SpecterX storage.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Test: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does the file remain where it was, or does it move into SpecterX's custody? Stays in place → Share-in-Place Connector.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worth being its own sub-type because the security model and the integration mechanics are genuinely different from "user uploads a file to SpecterX and shares it." Customers also recognize "share in place" as a distinct product capability — it's not just an implementation detail.</w:t>
      </w:r>
    </w:p>
    <w:p w:rsidR="00000000" w:rsidDel="00000000" w:rsidP="00000000" w:rsidRDefault="00000000" w:rsidRPr="00000000" w14:paraId="00000037">
      <w:pPr>
        <w:pStyle w:val="Heading3"/>
        <w:spacing w:after="80" w:before="280" w:lineRule="auto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qr3cb3f3g3q1" w:id="4"/>
      <w:bookmarkEnd w:id="4"/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0"/>
        </w:rPr>
        <w:t xml:space="preserve">Messaging Connector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Connector where the destination is a chat/messaging platform</w:t>
      </w:r>
      <w:r w:rsidDel="00000000" w:rsidR="00000000" w:rsidRPr="00000000">
        <w:rPr>
          <w:rtl w:val="0"/>
        </w:rPr>
        <w:t xml:space="preserve"> (Slack, Teams, eventually maybe Discord/WhatsApp/etc). Worth its own sub-type because messaging targets have different UX patterns than file storage — ephemeral channels, DMs, bot installation, etc.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only ever have Slack and Teams here, this could collapse back into "Connector" without loss. The category earns its keep if you see yourselves adding more messaging targets.</w:t>
      </w:r>
    </w:p>
    <w:p w:rsidR="00000000" w:rsidDel="00000000" w:rsidP="00000000" w:rsidRDefault="00000000" w:rsidRPr="00000000" w14:paraId="0000003A">
      <w:pPr>
        <w:pStyle w:val="Heading3"/>
        <w:spacing w:after="80" w:before="280" w:lineRule="auto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kobguipdzd45" w:id="5"/>
      <w:bookmarkEnd w:id="5"/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0"/>
        </w:rPr>
        <w:t xml:space="preserve">Extension / Add-in / Plugin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three words mean essentially the same thing technically — </w:t>
      </w:r>
      <w:r w:rsidDel="00000000" w:rsidR="00000000" w:rsidRPr="00000000">
        <w:rPr>
          <w:b w:val="1"/>
          <w:bCs w:val="1"/>
          <w:rtl w:val="0"/>
        </w:rPr>
        <w:t xml:space="preserve">code that runs inside a third-party host application</w:t>
      </w:r>
      <w:r w:rsidDel="00000000" w:rsidR="00000000" w:rsidRPr="00000000">
        <w:rPr>
          <w:rtl w:val="0"/>
        </w:rPr>
        <w:t xml:space="preserve"> — but each ecosystem has settled on its own term, and using the host's term matters because that's what customers, marketplaces, and support tickets will use: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Add-in</w:t>
      </w:r>
      <w:r w:rsidDel="00000000" w:rsidR="00000000" w:rsidRPr="00000000">
        <w:rPr>
          <w:rtl w:val="0"/>
        </w:rPr>
        <w:t xml:space="preserve"> — Microsoft's term. Outlook Add-in, Word Add-in, Excel Add-in. Use this for anything that runs inside a Microsoft Office host.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Extension</w:t>
      </w:r>
      <w:r w:rsidDel="00000000" w:rsidR="00000000" w:rsidRPr="00000000">
        <w:rPr>
          <w:rtl w:val="0"/>
        </w:rPr>
        <w:t xml:space="preserve"> — the browser ecosystem's term. Chrome Extension, Edge Extension, Firefox Extension. Use this for anything that injects into a web page or browser chrome (Salesforce Browser Extension, Gmail Browser Extension — even though Gmail is "in" Google's product, your client runs in the </w:t>
      </w:r>
      <w:r w:rsidDel="00000000" w:rsidR="00000000" w:rsidRPr="00000000">
        <w:rPr>
          <w:i w:val="1"/>
          <w:iCs w:val="1"/>
          <w:rtl w:val="0"/>
        </w:rPr>
        <w:t xml:space="preserve">browser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Plugin</w:t>
      </w:r>
      <w:r w:rsidDel="00000000" w:rsidR="00000000" w:rsidRPr="00000000">
        <w:rPr>
          <w:rtl w:val="0"/>
        </w:rPr>
        <w:t xml:space="preserve"> — the catch-all. Use when the host product itself calls them plugins (Box plugin) or when neither Add-in nor Extension fits the host's own terminology.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rtl w:val="0"/>
        </w:rPr>
        <w:t xml:space="preserve"> — what most marketplaces call third-party software (Slack App, Teams App, Salesforce AppExchange). Worth considering if you build a true installable Slack/Teams app rather than just a connector that talks to their APIs.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these are </w:t>
      </w:r>
      <w:r w:rsidDel="00000000" w:rsidR="00000000" w:rsidRPr="00000000">
        <w:rPr>
          <w:b w:val="1"/>
          <w:bCs w:val="1"/>
          <w:rtl w:val="0"/>
        </w:rPr>
        <w:t xml:space="preserve">sub-component names</w:t>
      </w:r>
      <w:r w:rsidDel="00000000" w:rsidR="00000000" w:rsidRPr="00000000">
        <w:rPr>
          <w:rtl w:val="0"/>
        </w:rPr>
        <w:t xml:space="preserve">, not umbrellas. An Outlook Add-in is one piece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Mailflow Integration</w:t>
      </w:r>
      <w:r w:rsidDel="00000000" w:rsidR="00000000" w:rsidRPr="00000000">
        <w:rPr>
          <w:rtl w:val="0"/>
        </w:rPr>
        <w:t xml:space="preserve">. A Salesforce Browser Extension is one piece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Salesforce Report Export</w:t>
      </w:r>
      <w:r w:rsidDel="00000000" w:rsidR="00000000" w:rsidRPr="00000000">
        <w:rPr>
          <w:rtl w:val="0"/>
        </w:rPr>
        <w:t xml:space="preserve">. The Extension/Add-in word answers "what kind of client is it?", not "what does it do?"</w:t>
      </w:r>
    </w:p>
    <w:p w:rsidR="00000000" w:rsidDel="00000000" w:rsidP="00000000" w:rsidRDefault="00000000" w:rsidRPr="00000000" w14:paraId="00000041">
      <w:pPr>
        <w:pStyle w:val="Heading3"/>
        <w:spacing w:after="80" w:before="280" w:lineRule="auto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c4lqxbti4gm1" w:id="6"/>
      <w:bookmarkEnd w:id="6"/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0"/>
        </w:rPr>
        <w:t xml:space="preserve">Engine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renderer/processor underneath a SpecterX product surface</w:t>
      </w:r>
      <w:r w:rsidDel="00000000" w:rsidR="00000000" w:rsidRPr="00000000">
        <w:rPr>
          <w:rtl w:val="0"/>
        </w:rPr>
        <w:t xml:space="preserve">, where the surface is what the customer sees and the engine is implementation. Used for Viewer sub-components today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SpecterX Office Engine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SpecterX PDF Engine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Test: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could you swap this out for a different vendor's technology without the customer noticing? Yes → Engine.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"Engine" word signals "implementation detail, not a customer-facing product." Useful where you want to track work against a specific underlying technology (PSPDF, Office Online, etc.) without elevating that technology to product status.</w:t>
      </w:r>
    </w:p>
    <w:p w:rsidR="00000000" w:rsidDel="00000000" w:rsidP="00000000" w:rsidRDefault="00000000" w:rsidRPr="00000000" w14:paraId="00000045">
      <w:pPr>
        <w:pStyle w:val="Heading3"/>
        <w:spacing w:after="80" w:before="280" w:lineRule="auto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i3xxe7gk76tg" w:id="7"/>
      <w:bookmarkEnd w:id="7"/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0"/>
        </w:rPr>
        <w:t xml:space="preserve">Open-With Target (External Open-With)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third-party app the user chooses to open a SpecterX-protected file in, where the file leaves SpecterX's rendering context.</w:t>
      </w:r>
      <w:r w:rsidDel="00000000" w:rsidR="00000000" w:rsidRPr="00000000">
        <w:rPr>
          <w:rtl w:val="0"/>
        </w:rPr>
        <w:t xml:space="preserve"> Adobe Desktop, Native Office, Microsoft Edge as a PDF reader, Google Drive as a viewer.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Test: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does the user pick this from an "Open with..." menu, and does the file get handed off to an app outside SpecterX's direct control? Yes → External Open-With.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Distinction from Viewer:</w:t>
      </w:r>
      <w:r w:rsidDel="00000000" w:rsidR="00000000" w:rsidRPr="00000000">
        <w:rPr>
          <w:rtl w:val="0"/>
        </w:rPr>
        <w:t xml:space="preserve"> Viewer is "SpecterX renders the file in-house (possibly via an embedded engine)." External Open-With is "SpecterX hands the file to someone else's app and trusts the protection mechanism to follow it." Very different security models.</w:t>
      </w:r>
    </w:p>
    <w:p w:rsidR="00000000" w:rsidDel="00000000" w:rsidP="00000000" w:rsidRDefault="00000000" w:rsidRPr="00000000" w14:paraId="00000049">
      <w:pPr>
        <w:pStyle w:val="Heading3"/>
        <w:spacing w:after="80" w:before="280" w:lineRule="auto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n5mbbtvpyi4w" w:id="8"/>
      <w:bookmarkEnd w:id="8"/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0"/>
        </w:rPr>
        <w:t xml:space="preserve">Service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backend SpecterX operates</w:t>
      </w:r>
      <w:r w:rsidDel="00000000" w:rsidR="00000000" w:rsidRPr="00000000">
        <w:rPr>
          <w:rtl w:val="0"/>
        </w:rPr>
        <w:t xml:space="preserve"> to power any of the above. Internal-facing word — customers rarely see it. Used when you need to talk about the server side of something as a distinct component (Salesforce Reports Connector backend, Mail Protection Server).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you don't have to break every product into Client + Service components. Only do it when the two pieces have genuinely separate deployment/release/ownership cycles. Most integrations don't need this — the backend lives in the same component as the rest of the integration unless there's a reason to split it.</w:t>
      </w:r>
    </w:p>
    <w:p w:rsidR="00000000" w:rsidDel="00000000" w:rsidP="00000000" w:rsidRDefault="00000000" w:rsidRPr="00000000" w14:paraId="0000004C">
      <w:pPr>
        <w:pStyle w:val="Heading3"/>
        <w:spacing w:after="80" w:before="280" w:lineRule="auto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m6gyvmc7hoct" w:id="9"/>
      <w:bookmarkEnd w:id="9"/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0"/>
        </w:rPr>
        <w:t xml:space="preserve">Policy Protection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file-level security measure that admins enable through the policy management UI</w:t>
      </w:r>
      <w:r w:rsidDel="00000000" w:rsidR="00000000" w:rsidRPr="00000000">
        <w:rPr>
          <w:rtl w:val="0"/>
        </w:rPr>
        <w:t xml:space="preserve">, applied automatically to files governed by that policy. Looking at your screenshots: anything that appears as a toggle in the Data Protection or Access Control sections of the policy editor.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Test: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is this configurable per-policy in the policy management UI? Yes → Policy Protection.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Watermarking Policy Protection, Password Policy Protection, Rights Management Policy Protection. (And, eventually, possibly: Download Blocking, Recipient Verification, Time-Limited Access, etc., if those become Jira components.)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 Policy Protection:</w:t>
      </w:r>
      <w:r w:rsidDel="00000000" w:rsidR="00000000" w:rsidRPr="00000000">
        <w:rPr>
          <w:rtl w:val="0"/>
        </w:rPr>
        <w:t xml:space="preserve"> features that aren't policy-controlled. Digital Signature is a standalone capability — users sign documents, it's not a toggle an admin turns on for a policy. So it sits in Jira without the suffix.</w:t>
      </w:r>
    </w:p>
    <w:p w:rsidR="00000000" w:rsidDel="00000000" w:rsidP="00000000" w:rsidRDefault="00000000" w:rsidRPr="00000000" w14:paraId="00000051">
      <w:pPr>
        <w:pStyle w:val="Heading3"/>
        <w:spacing w:after="80" w:before="280" w:lineRule="auto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rpm54o1nmi99" w:id="10"/>
      <w:bookmarkEnd w:id="10"/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0"/>
        </w:rPr>
        <w:t xml:space="preserve">Gateway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self-contained SpecterX deployment that runs in a customer's environment</w:t>
      </w:r>
      <w:r w:rsidDel="00000000" w:rsidR="00000000" w:rsidRPr="00000000">
        <w:rPr>
          <w:rtl w:val="0"/>
        </w:rPr>
        <w:t xml:space="preserve">, rather than in SpecterX's cloud. On-Prem Gateway is the umbrella; sub-components are the pieces of it (core service, storage connector for on-prem).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Worth its own type word because the deployment model is fundamentally different — release cadence, support model, version skew, all distinct from cloud.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