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bottom w:color="auto" w:space="0" w:sz="0" w:val="none"/>
        </w:pBdr>
        <w:spacing w:after="80" w:before="360" w:lineRule="auto"/>
        <w:rPr>
          <w:rFonts w:ascii="Roboto" w:cs="Roboto" w:eastAsia="Roboto" w:hAnsi="Roboto"/>
          <w:b w:val="1"/>
          <w:bCs w:val="1"/>
          <w:color w:val="2d2d2d"/>
          <w:sz w:val="34"/>
          <w:szCs w:val="34"/>
        </w:rPr>
      </w:pPr>
      <w:bookmarkStart w:colFirst="0" w:colLast="0" w:name="_hmrmft21ltf" w:id="0"/>
      <w:bookmarkEnd w:id="0"/>
      <w:r w:rsidDel="00000000" w:rsidR="00000000" w:rsidRPr="00000000">
        <w:rPr>
          <w:rFonts w:ascii="Roboto" w:cs="Roboto" w:eastAsia="Roboto" w:hAnsi="Roboto"/>
          <w:b w:val="1"/>
          <w:bCs w:val="1"/>
          <w:color w:val="2d2d2d"/>
          <w:sz w:val="34"/>
          <w:szCs w:val="34"/>
          <w:rtl w:val="0"/>
        </w:rPr>
        <w:t xml:space="preserve">Ticket 1: PAR Enforcement Audit Log Events</w:t>
      </w:r>
    </w:p>
    <w:p w:rsidR="00000000" w:rsidDel="00000000" w:rsidP="00000000" w:rsidRDefault="00000000" w:rsidRPr="00000000" w14:paraId="00000002">
      <w:pPr>
        <w:pStyle w:val="Heading3"/>
        <w:spacing w:after="80" w:before="280" w:lineRule="auto"/>
        <w:rPr>
          <w:rFonts w:ascii="Roboto" w:cs="Roboto" w:eastAsia="Roboto" w:hAnsi="Roboto"/>
          <w:color w:val="2d2d2d"/>
          <w:sz w:val="26"/>
          <w:szCs w:val="26"/>
        </w:rPr>
      </w:pPr>
      <w:bookmarkStart w:colFirst="0" w:colLast="0" w:name="_u5pa6ph39q0l" w:id="1"/>
      <w:bookmarkEnd w:id="1"/>
      <w:r w:rsidDel="00000000" w:rsidR="00000000" w:rsidRPr="00000000">
        <w:rPr>
          <w:rFonts w:ascii="Roboto" w:cs="Roboto" w:eastAsia="Roboto" w:hAnsi="Roboto"/>
          <w:color w:val="2d2d2d"/>
          <w:sz w:val="26"/>
          <w:szCs w:val="26"/>
          <w:rtl w:val="0"/>
        </w:rPr>
        <w:t xml:space="preserve">Goal</w:t>
      </w:r>
    </w:p>
    <w:p w:rsidR="00000000" w:rsidDel="00000000" w:rsidP="00000000" w:rsidRDefault="00000000" w:rsidRPr="00000000" w14:paraId="00000003">
      <w:pPr>
        <w:spacing w:after="240" w:before="240" w:lineRule="auto"/>
        <w:rPr/>
      </w:pPr>
      <w:r w:rsidDel="00000000" w:rsidR="00000000" w:rsidRPr="00000000">
        <w:rPr>
          <w:rtl w:val="0"/>
        </w:rPr>
        <w:t xml:space="preserve">Ensure all Policy Assignment Rules (PAR) enforcement actions are auditable by logging audit events whenever PAR evaluation triggers a governance action, regardless of whether the share is ultimately completed.</w:t>
      </w:r>
    </w:p>
    <w:p w:rsidR="00000000" w:rsidDel="00000000" w:rsidP="00000000" w:rsidRDefault="00000000" w:rsidRPr="00000000" w14:paraId="00000004">
      <w:pPr>
        <w:pStyle w:val="Heading3"/>
        <w:spacing w:after="80" w:before="280" w:lineRule="auto"/>
        <w:rPr>
          <w:rFonts w:ascii="Roboto" w:cs="Roboto" w:eastAsia="Roboto" w:hAnsi="Roboto"/>
          <w:color w:val="2d2d2d"/>
          <w:sz w:val="26"/>
          <w:szCs w:val="26"/>
        </w:rPr>
      </w:pPr>
      <w:bookmarkStart w:colFirst="0" w:colLast="0" w:name="_xp4itzhae9m3" w:id="2"/>
      <w:bookmarkEnd w:id="2"/>
      <w:r w:rsidDel="00000000" w:rsidR="00000000" w:rsidRPr="00000000">
        <w:rPr>
          <w:rFonts w:ascii="Roboto" w:cs="Roboto" w:eastAsia="Roboto" w:hAnsi="Roboto"/>
          <w:color w:val="2d2d2d"/>
          <w:sz w:val="26"/>
          <w:szCs w:val="26"/>
          <w:rtl w:val="0"/>
        </w:rPr>
        <w:t xml:space="preserve">Description</w:t>
      </w:r>
    </w:p>
    <w:p w:rsidR="00000000" w:rsidDel="00000000" w:rsidP="00000000" w:rsidRDefault="00000000" w:rsidRPr="00000000" w14:paraId="00000005">
      <w:pPr>
        <w:spacing w:after="240" w:before="240" w:lineRule="auto"/>
        <w:rPr/>
      </w:pPr>
      <w:r w:rsidDel="00000000" w:rsidR="00000000" w:rsidRPr="00000000">
        <w:rPr>
          <w:rtl w:val="0"/>
        </w:rPr>
        <w:t xml:space="preserve">The platform must generate audit log events whenever a PAR evaluation results in an action being triggered. PAR evaluation occurs in real time while a user is composing or modifying a share, before the user selects “Share”. Audit logs must therefore be generated immediately after evaluation when governance actions are triggered, even if the user later modifies the share to avoid enforcement or abandons the share entirely.</w:t>
      </w:r>
    </w:p>
    <w:p w:rsidR="00000000" w:rsidDel="00000000" w:rsidP="00000000" w:rsidRDefault="00000000" w:rsidRPr="00000000" w14:paraId="00000006">
      <w:pPr>
        <w:spacing w:after="240" w:before="240" w:lineRule="auto"/>
        <w:rPr/>
      </w:pPr>
      <w:r w:rsidDel="00000000" w:rsidR="00000000" w:rsidRPr="00000000">
        <w:rPr>
          <w:rtl w:val="0"/>
        </w:rPr>
        <w:t xml:space="preserve">Audit logging must be tied to </w:t>
      </w:r>
      <w:r w:rsidDel="00000000" w:rsidR="00000000" w:rsidRPr="00000000">
        <w:rPr>
          <w:b w:val="1"/>
          <w:bCs w:val="1"/>
          <w:rtl w:val="0"/>
        </w:rPr>
        <w:t xml:space="preserve">evaluation results</w:t>
      </w:r>
      <w:r w:rsidDel="00000000" w:rsidR="00000000" w:rsidRPr="00000000">
        <w:rPr>
          <w:rtl w:val="0"/>
        </w:rPr>
        <w:t xml:space="preserve">, not final transactions. If PAR evaluates a state that would enforce governance, that moment must be logged as an expression of governance pressure applied by the system.</w:t>
      </w:r>
    </w:p>
    <w:p w:rsidR="00000000" w:rsidDel="00000000" w:rsidP="00000000" w:rsidRDefault="00000000" w:rsidRPr="00000000" w14:paraId="00000007">
      <w:pPr>
        <w:spacing w:after="240" w:before="240" w:lineRule="auto"/>
        <w:rPr/>
      </w:pPr>
      <w:r w:rsidDel="00000000" w:rsidR="00000000" w:rsidRPr="00000000">
        <w:rPr>
          <w:rtl w:val="0"/>
        </w:rPr>
        <w:t xml:space="preserve">The following PAR actions must generate audit logs: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Policy assignment by PAR</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Policy locking by PAR</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Policy unlocking by PAR</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Recipient blocking</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File blocking</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Audit logs must be generated consistently across: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Initial share composition</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Real-time modification of share conditions</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Modification of existing shares</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Share cancellation itself is not a standalone audit event. Cancellation must be inferable from the underlying block events and recorded action context.</w:t>
      </w:r>
    </w:p>
    <w:p w:rsidR="00000000" w:rsidDel="00000000" w:rsidP="00000000" w:rsidRDefault="00000000" w:rsidRPr="00000000" w14:paraId="00000012">
      <w:pPr>
        <w:pStyle w:val="Heading3"/>
        <w:spacing w:after="80" w:before="280" w:lineRule="auto"/>
        <w:rPr>
          <w:rFonts w:ascii="Roboto" w:cs="Roboto" w:eastAsia="Roboto" w:hAnsi="Roboto"/>
          <w:color w:val="2d2d2d"/>
          <w:sz w:val="26"/>
          <w:szCs w:val="26"/>
        </w:rPr>
      </w:pPr>
      <w:bookmarkStart w:colFirst="0" w:colLast="0" w:name="_ybxf52loswxo" w:id="3"/>
      <w:bookmarkEnd w:id="3"/>
      <w:r w:rsidDel="00000000" w:rsidR="00000000" w:rsidRPr="00000000">
        <w:rPr>
          <w:rFonts w:ascii="Roboto" w:cs="Roboto" w:eastAsia="Roboto" w:hAnsi="Roboto"/>
          <w:color w:val="2d2d2d"/>
          <w:sz w:val="26"/>
          <w:szCs w:val="26"/>
          <w:rtl w:val="0"/>
        </w:rPr>
        <w:t xml:space="preserve">Definition of Done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An audit log event is generated every time PAR evaluation triggers a governance action, even before a share is sent</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PolicyAssignedByPAR</w:t>
      </w:r>
      <w:r w:rsidDel="00000000" w:rsidR="00000000" w:rsidRPr="00000000">
        <w:rPr>
          <w:rtl w:val="0"/>
        </w:rPr>
        <w:t xml:space="preserve"> is logged when PAR assigns a policy value</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PolicyLockedByPAR</w:t>
      </w:r>
      <w:r w:rsidDel="00000000" w:rsidR="00000000" w:rsidRPr="00000000">
        <w:rPr>
          <w:rtl w:val="0"/>
        </w:rPr>
        <w:t xml:space="preserve"> is logged whenever PAR takes ownership of policy control, even if the policy value does not change</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PolicyUnlockedByPAR</w:t>
      </w:r>
      <w:r w:rsidDel="00000000" w:rsidR="00000000" w:rsidRPr="00000000">
        <w:rPr>
          <w:rtl w:val="0"/>
        </w:rPr>
        <w:t xml:space="preserve"> is logged when a previously locked policy becomes unlocked due to reevaluation</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RecipientBlockedByPAR</w:t>
      </w:r>
      <w:r w:rsidDel="00000000" w:rsidR="00000000" w:rsidRPr="00000000">
        <w:rPr>
          <w:rtl w:val="0"/>
        </w:rPr>
        <w:t xml:space="preserve"> is logged whenever a recipient is blocked during evaluation</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FileBlockedByPAR</w:t>
      </w:r>
      <w:r w:rsidDel="00000000" w:rsidR="00000000" w:rsidRPr="00000000">
        <w:rPr>
          <w:rtl w:val="0"/>
        </w:rPr>
        <w:t xml:space="preserve"> is logged whenever a file or attachment is blocked during evaluation</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Audit logs are generated even if the user later removes triggering conditions or abandons the share</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No standalone “ShareBlocked” or “ShareCancelled” event is introduced</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Each audit log includes action context indicating how the evaluation was triggered (e.g. initial share, recipient removal, file upload)</w:t>
        <w:br w:type="textWrapping"/>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No audit logs are generated when PAR evaluation results in no action</w:t>
        <w:br w:type="textWrapping"/>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headerReference r:id="rId6" w:type="default"/>
      <w:footerReference r:id="rId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Template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84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