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360" w:lineRule="auto"/>
        <w:rPr/>
      </w:pPr>
      <w:bookmarkStart w:colFirst="0" w:colLast="0" w:name="_q55rtbphns2u" w:id="0"/>
      <w:bookmarkEnd w:id="0"/>
      <w:r w:rsidDel="00000000" w:rsidR="00000000" w:rsidRPr="00000000">
        <w:rPr>
          <w:rtl w:val="0"/>
        </w:rPr>
        <w:t xml:space="preserve">Project: Notifications Sent via Customer Domain </w:t>
      </w:r>
    </w:p>
    <w:p w:rsidR="00000000" w:rsidDel="00000000" w:rsidP="00000000" w:rsidRDefault="00000000" w:rsidRPr="00000000" w14:paraId="00000002">
      <w:pPr>
        <w:pStyle w:val="Heading2"/>
        <w:spacing w:after="120" w:before="360" w:lineRule="auto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Currently, notifications are sent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domain@SpecterX.com</w:t>
        </w:r>
      </w:hyperlink>
      <w:r w:rsidDel="00000000" w:rsidR="00000000" w:rsidRPr="00000000">
        <w:rPr>
          <w:rtl w:val="0"/>
        </w:rPr>
        <w:t xml:space="preserve"> and customers are requesting that these appear to be sent from the company’s domain only.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iinxxqgnxp0" w:id="2"/>
      <w:bookmarkEnd w:id="2"/>
      <w:r w:rsidDel="00000000" w:rsidR="00000000" w:rsidRPr="00000000">
        <w:rPr>
          <w:rtl w:val="0"/>
        </w:rPr>
        <w:t xml:space="preserve">Future Versions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March 2026 change: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Changing notifications to send on behalf of the governing domain. This could be split into 2 tasks: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1st priority is to tackle notifications that go to recipients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2nd all other to internal users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Current consideration changing the email addresses of emails we are sending to users (from </w:t>
      </w:r>
      <w:r w:rsidDel="00000000" w:rsidR="00000000" w:rsidRPr="00000000">
        <w:rPr>
          <w:color w:val="1264a3"/>
          <w:rtl w:val="0"/>
        </w:rPr>
        <w:t xml:space="preserve">support@specterx.com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color w:val="1264a3"/>
          <w:rtl w:val="0"/>
        </w:rPr>
        <w:t xml:space="preserve">do_not_reply@customer_domain.com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3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Template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846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main.specterx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