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Roboto" w:cs="Roboto" w:eastAsia="Roboto" w:hAnsi="Roboto"/>
          <w:i w:val="1"/>
          <w:iCs w:val="1"/>
          <w:color w:val="2d2d2d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d2d2d"/>
          <w:rtl w:val="0"/>
        </w:rPr>
        <w:t xml:space="preserve">Policy Configuration Guide Draft 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Roboto" w:cs="Roboto" w:eastAsia="Roboto" w:hAnsi="Roboto"/>
          <w:i w:val="1"/>
          <w:iCs w:val="1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Roboto" w:cs="Roboto" w:eastAsia="Roboto" w:hAnsi="Roboto"/>
          <w:i w:val="1"/>
          <w:iCs w:val="1"/>
          <w:color w:val="2d2d2d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d2d2d"/>
        </w:rPr>
        <w:drawing>
          <wp:inline distB="114300" distT="114300" distL="114300" distR="114300">
            <wp:extent cx="5731200" cy="441960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 w="25400">
                      <a:solidFill>
                        <a:srgbClr val="F3F3F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