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091f56"/>
          <w:sz w:val="52"/>
          <w:szCs w:val="52"/>
        </w:rPr>
      </w:pPr>
      <w:r w:rsidDel="00000000" w:rsidR="00000000" w:rsidRPr="00000000">
        <w:rPr>
          <w:color w:val="091f56"/>
          <w:sz w:val="52"/>
          <w:szCs w:val="52"/>
          <w:rtl w:val="0"/>
        </w:rPr>
        <w:t xml:space="preserve">User Manual</w:t>
      </w:r>
    </w:p>
    <w:p w:rsidR="00000000" w:rsidDel="00000000" w:rsidP="00000000" w:rsidRDefault="00000000" w:rsidRPr="00000000" w14:paraId="00000002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color w:val="091f56"/>
          <w:sz w:val="40"/>
          <w:szCs w:val="40"/>
          <w:rtl w:val="0"/>
        </w:rPr>
        <w:t xml:space="preserve">Outlook Add-in Group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rPr>
          <w:rFonts w:ascii="Roboto" w:cs="Roboto" w:eastAsia="Roboto" w:hAnsi="Roboto"/>
        </w:rPr>
      </w:pPr>
      <w:bookmarkStart w:colFirst="0" w:colLast="0" w:name="_7kxu2a3ljo9h" w:id="0"/>
      <w:bookmarkEnd w:id="0"/>
      <w:r w:rsidDel="00000000" w:rsidR="00000000" w:rsidRPr="00000000">
        <w:rPr>
          <w:rFonts w:ascii="Roboto" w:cs="Roboto" w:eastAsia="Roboto" w:hAnsi="Roboto"/>
          <w:rtl w:val="0"/>
        </w:rPr>
        <w:t xml:space="preserve">With This Manual You Will Learn</w:t>
      </w:r>
      <w:r w:rsidDel="00000000" w:rsidR="00000000" w:rsidRPr="00000000">
        <w:rPr>
          <w:rtl w:val="0"/>
        </w:rPr>
      </w:r>
    </w:p>
    <w:sdt>
      <w:sdtPr>
        <w:id w:val="-7381167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tabs>
              <w:tab w:val="right" w:leader="none" w:pos="9025.511811023624"/>
            </w:tabs>
            <w:spacing w:before="8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kxu2a3ljo9h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With This Manual You Will Learn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_7kxu2a3ljo9h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likrnrztgo7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SpecterX Outlook Add-in using GPO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_likrnrztgo7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7ftuiu9emq7k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 Group Policy Object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_7ftuiu9emq7k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spacing w:after="80"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ifqk55pdi4zj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Configure registry perferenes to enable/disable SpecterX outlook add-in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_ifqk55pdi4zj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p2ku4hwrwtk6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color w:val="091f56"/>
          <w:sz w:val="32"/>
          <w:szCs w:val="32"/>
        </w:rPr>
      </w:pPr>
      <w:bookmarkStart w:colFirst="0" w:colLast="0" w:name="_likrnrztgo7" w:id="2"/>
      <w:bookmarkEnd w:id="2"/>
      <w:r w:rsidDel="00000000" w:rsidR="00000000" w:rsidRPr="00000000">
        <w:rPr>
          <w:rtl w:val="0"/>
        </w:rPr>
        <w:t xml:space="preserve">Control SpecterX Outlook Add-in using GPO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 Note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0"/>
          <w:bCs w:val="0"/>
          <w:rtl w:val="0"/>
        </w:rPr>
        <w:t xml:space="preserve">Use group policy management with caution! Always associate the group policy to a small group of users/endpoints before making a broad domain-wide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Roboto" w:cs="Roboto" w:eastAsia="Roboto" w:hAnsi="Roboto"/>
        </w:rPr>
      </w:pPr>
      <w:bookmarkStart w:colFirst="0" w:colLast="0" w:name="_7ftuiu9emq7k" w:id="3"/>
      <w:bookmarkEnd w:id="3"/>
      <w:r w:rsidDel="00000000" w:rsidR="00000000" w:rsidRPr="00000000">
        <w:rPr>
          <w:rFonts w:ascii="Roboto" w:cs="Roboto" w:eastAsia="Roboto" w:hAnsi="Roboto"/>
          <w:rtl w:val="0"/>
        </w:rPr>
        <w:t xml:space="preserve">Creating a Group Policy Object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Group Policy Management Management Console</w:t>
        <w:br w:type="textWrapping"/>
      </w:r>
      <w:r w:rsidDel="00000000" w:rsidR="00000000" w:rsidRPr="00000000">
        <w:rPr/>
        <w:drawing>
          <wp:inline distB="114300" distT="114300" distL="114300" distR="114300">
            <wp:extent cx="2562413" cy="189071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413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Group policy object.</w:t>
      </w:r>
      <w:r w:rsidDel="00000000" w:rsidR="00000000" w:rsidRPr="00000000">
        <w:rPr/>
        <w:drawing>
          <wp:inline distB="114300" distT="114300" distL="114300" distR="114300">
            <wp:extent cx="3591913" cy="3681413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1913" cy="368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Provide a name for the new group policy object:</w:t>
      </w:r>
      <w:r w:rsidDel="00000000" w:rsidR="00000000" w:rsidRPr="00000000">
        <w:rPr/>
        <w:drawing>
          <wp:inline distB="114300" distT="114300" distL="114300" distR="114300">
            <wp:extent cx="3100388" cy="144986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449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rFonts w:ascii="Roboto" w:cs="Roboto" w:eastAsia="Roboto" w:hAnsi="Roboto"/>
        </w:rPr>
      </w:pPr>
      <w:bookmarkStart w:colFirst="0" w:colLast="0" w:name="_ifqk55pdi4zj" w:id="4"/>
      <w:bookmarkEnd w:id="4"/>
      <w:r w:rsidDel="00000000" w:rsidR="00000000" w:rsidRPr="00000000">
        <w:rPr>
          <w:rFonts w:ascii="Roboto" w:cs="Roboto" w:eastAsia="Roboto" w:hAnsi="Roboto"/>
          <w:rtl w:val="0"/>
        </w:rPr>
        <w:t xml:space="preserve">Configure registry perferenes to enable/disable SpecterX outlook add-in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Right click the newly created group policy object and select ‘Edit’</w:t>
      </w:r>
      <w:r w:rsidDel="00000000" w:rsidR="00000000" w:rsidRPr="00000000">
        <w:rPr/>
        <w:drawing>
          <wp:inline distB="114300" distT="114300" distL="114300" distR="114300">
            <wp:extent cx="3214430" cy="292893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43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There are two options to control Outlook Add-in using group policy: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Computer Configuration- will set the change for all the endpoints who inherits the group policy (and all the users using those machines)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User Configuration- will set the change for all the users who inherit the group policy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This should be determined based on Microsoft group policy outlook add-in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best practices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34540" cy="3405188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4540" cy="3405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Scroll down to the appropriate path and create a new registry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30337" cy="2957513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337" cy="295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  <w:t xml:space="preserve">Use the following configuration to control (enable / disable) SpecterX outlook add-in: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Key Path: 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Software\Microsoft\Office\Outlook\Addins\SpecterX.Addin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Value Name: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LoadBehavior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Value Data: REG_DWORD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00000002 - to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disable 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 add-in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00000003 - to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enable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the add-in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16991" cy="391001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991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That’s it! You have successfully created a group policy that controls SpecterX add-in default behavior.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6" w:type="first"/>
      <w:headerReference r:id="rId17" w:type="default"/>
      <w:footerReference r:id="rId18" w:type="first"/>
      <w:footerReference r:id="rId19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5" name="image12.png"/>
          <a:graphic>
            <a:graphicData uri="http://schemas.openxmlformats.org/drawingml/2006/picture">
              <pic:pic>
                <pic:nvPicPr>
                  <pic:cNvPr descr="footer graphic" id="0" name="image12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0" name="image9.png"/>
          <a:graphic>
            <a:graphicData uri="http://schemas.openxmlformats.org/drawingml/2006/picture">
              <pic:pic>
                <pic:nvPicPr>
                  <pic:cNvPr descr="corner graphic"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4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4" name="image11.png"/>
          <a:graphic>
            <a:graphicData uri="http://schemas.openxmlformats.org/drawingml/2006/picture">
              <pic:pic>
                <pic:nvPicPr>
                  <pic:cNvPr descr="geometric_corner.png" id="0" name="image1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hyperlink" Target="https://docs.microsoft.com/en-us/visualstudio/vsto/registry-entries-for-vsto-add-ins?view=vs-202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6.png"/><Relationship Id="rId18" Type="http://schemas.openxmlformats.org/officeDocument/2006/relationships/footer" Target="footer2.xml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Relationship Id="rId2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14.png"/><Relationship Id="rId3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