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bottom w:color="auto" w:space="0" w:sz="0" w:val="none"/>
        </w:pBdr>
        <w:spacing w:after="80" w:before="360" w:lineRule="auto"/>
        <w:rPr>
          <w:rFonts w:ascii="Roboto" w:cs="Roboto" w:eastAsia="Roboto" w:hAnsi="Roboto"/>
          <w:b w:val="1"/>
          <w:bCs w:val="1"/>
          <w:color w:val="2d2d2d"/>
          <w:sz w:val="34"/>
          <w:szCs w:val="34"/>
        </w:rPr>
      </w:pPr>
      <w:bookmarkStart w:colFirst="0" w:colLast="0" w:name="_u29lrt6q65d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sz w:val="34"/>
          <w:szCs w:val="34"/>
          <w:rtl w:val="0"/>
        </w:rPr>
        <w:t xml:space="preserve">Ticket 2: PAR Ruleset Configuration &amp; Testing Audit Logs</w:t>
      </w:r>
    </w:p>
    <w:p w:rsidR="00000000" w:rsidDel="00000000" w:rsidP="00000000" w:rsidRDefault="00000000" w:rsidRPr="00000000" w14:paraId="00000002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eqb5dj1r0rbk" w:id="1"/>
      <w:bookmarkEnd w:id="1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audit visibility into changes to the published PAR ruleset and explicit validation of governance logic at the tenant level.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gyxbnxmi3vvv" w:id="2"/>
      <w:bookmarkEnd w:id="2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log audit events whenever the </w:t>
      </w:r>
      <w:r w:rsidDel="00000000" w:rsidR="00000000" w:rsidRPr="00000000">
        <w:rPr>
          <w:b w:val="1"/>
          <w:bCs w:val="1"/>
          <w:rtl w:val="0"/>
        </w:rPr>
        <w:t xml:space="preserve">effective, published PAR ruleset for a tenant changes</w:t>
      </w:r>
      <w:r w:rsidDel="00000000" w:rsidR="00000000" w:rsidRPr="00000000">
        <w:rPr>
          <w:rtl w:val="0"/>
        </w:rPr>
        <w:t xml:space="preserve">, as well as when the active ruleset is explicitly tested by an administrator. These audit logs are intended to track changes to tenant-wide governance behavior and validation activity, not draft editing or UI navigation.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actions that alter or validate the published governance state must be auditable. Draft-only actions that do not affect enforcement behavior must not generate audit logs.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Ruleset configuration audit logs must reflect changes that impact how PAR evaluates and enforces governance for future share and permission events.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Ruleset testing audit logs must capture the fact that governance logic was tested and under what conditions, without creating enforcement or file-level audit events.</w:t>
      </w:r>
    </w:p>
    <w:p w:rsidR="00000000" w:rsidDel="00000000" w:rsidP="00000000" w:rsidRDefault="00000000" w:rsidRPr="00000000" w14:paraId="00000009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ssyyry3wr4yr" w:id="3"/>
      <w:bookmarkEnd w:id="3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Definition of Done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audit log event is generated when a rule is toggled On (activated)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audit log event is generated when an active rule is edited and saved (republished)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audit log event is generated when a rule is toggled Off (deactivated)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audit log event is generated when Policy Assignment rules are reordered within the active ruleset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ruleset configuration audit entry records: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identifier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taken (activated, deactivated, republished, reordered)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Resulting published ruleset state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audit log event is generated when an admin executes a ruleset test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Ruleset test audit entries record: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That a test occurred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input conditions (From, To, Classification if provided)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Ruleset testing does not generate file-level or share-level audit events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Draft-only actions do not generate audit logs, including: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draft rules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Editing unpublished rules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Saving rules that remain unpublished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Viewing configuration UI or test results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3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