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120" w:before="360" w:lineRule="auto"/>
        <w:rPr/>
      </w:pPr>
      <w:bookmarkStart w:colFirst="0" w:colLast="0" w:name="_gjdgxs" w:id="0"/>
      <w:bookmarkEnd w:id="0"/>
      <w:r w:rsidDel="00000000" w:rsidR="00000000" w:rsidRPr="00000000">
        <w:rPr>
          <w:rtl w:val="0"/>
        </w:rPr>
        <w:t xml:space="preserve">Connecting Google OAuth to SpecterX</w:t>
      </w:r>
    </w:p>
    <w:p w:rsidR="00000000" w:rsidDel="00000000" w:rsidP="00000000" w:rsidRDefault="00000000" w:rsidRPr="00000000" w14:paraId="00000002">
      <w:pPr>
        <w:pStyle w:val="Heading3"/>
        <w:rPr/>
      </w:pPr>
      <w:bookmarkStart w:colFirst="0" w:colLast="0" w:name="_gnzbm8vr66vg" w:id="1"/>
      <w:bookmarkEnd w:id="1"/>
      <w:r w:rsidDel="00000000" w:rsidR="00000000" w:rsidRPr="00000000">
        <w:rPr>
          <w:rtl w:val="0"/>
        </w:rPr>
        <w:t xml:space="preserve">Creating the Google OAuth Client</w:t>
      </w:r>
    </w:p>
    <w:p w:rsidR="00000000" w:rsidDel="00000000" w:rsidP="00000000" w:rsidRDefault="00000000" w:rsidRPr="00000000" w14:paraId="00000003">
      <w:pPr>
        <w:numPr>
          <w:ilvl w:val="0"/>
          <w:numId w:val="3"/>
        </w:numPr>
        <w:spacing w:before="200" w:lineRule="auto"/>
        <w:ind w:left="720" w:hanging="360"/>
      </w:pPr>
      <w:r w:rsidDel="00000000" w:rsidR="00000000" w:rsidRPr="00000000">
        <w:rPr>
          <w:rtl w:val="0"/>
        </w:rPr>
        <w:t xml:space="preserve">Go to the Google API Console:</w:t>
      </w:r>
      <w:hyperlink r:id="rId6">
        <w:r w:rsidDel="00000000" w:rsidR="00000000" w:rsidRPr="00000000">
          <w:rPr>
            <w:color w:val="1155cc"/>
            <w:u w:val="single"/>
            <w:rtl w:val="0"/>
          </w:rPr>
          <w:t xml:space="preserve"> https://console.developers.google.com/</w:t>
        </w:r>
      </w:hyperlink>
      <w:r w:rsidDel="00000000" w:rsidR="00000000" w:rsidRPr="00000000">
        <w:rPr>
          <w:rtl w:val="0"/>
        </w:rPr>
      </w:r>
    </w:p>
    <w:p w:rsidR="00000000" w:rsidDel="00000000" w:rsidP="00000000" w:rsidRDefault="00000000" w:rsidRPr="00000000" w14:paraId="00000004">
      <w:pPr>
        <w:numPr>
          <w:ilvl w:val="0"/>
          <w:numId w:val="3"/>
        </w:numPr>
        <w:spacing w:before="200" w:lineRule="auto"/>
        <w:ind w:left="720" w:hanging="360"/>
      </w:pPr>
      <w:r w:rsidDel="00000000" w:rsidR="00000000" w:rsidRPr="00000000">
        <w:rPr>
          <w:rtl w:val="0"/>
        </w:rPr>
        <w:t xml:space="preserve">Select your project or create a new project.</w:t>
      </w:r>
    </w:p>
    <w:p w:rsidR="00000000" w:rsidDel="00000000" w:rsidP="00000000" w:rsidRDefault="00000000" w:rsidRPr="00000000" w14:paraId="00000005">
      <w:pPr>
        <w:numPr>
          <w:ilvl w:val="0"/>
          <w:numId w:val="3"/>
        </w:numPr>
        <w:spacing w:before="200" w:lineRule="auto"/>
        <w:ind w:left="720" w:hanging="360"/>
      </w:pPr>
      <w:r w:rsidDel="00000000" w:rsidR="00000000" w:rsidRPr="00000000">
        <w:rPr>
          <w:rtl w:val="0"/>
        </w:rPr>
        <w:t xml:space="preserve">Go to the "Credentials" section.</w:t>
      </w:r>
    </w:p>
    <w:p w:rsidR="00000000" w:rsidDel="00000000" w:rsidP="00000000" w:rsidRDefault="00000000" w:rsidRPr="00000000" w14:paraId="00000006">
      <w:pPr>
        <w:numPr>
          <w:ilvl w:val="0"/>
          <w:numId w:val="3"/>
        </w:numPr>
        <w:spacing w:before="200" w:lineRule="auto"/>
        <w:ind w:left="720" w:hanging="360"/>
      </w:pPr>
      <w:r w:rsidDel="00000000" w:rsidR="00000000" w:rsidRPr="00000000">
        <w:rPr>
          <w:rtl w:val="0"/>
        </w:rPr>
        <w:t xml:space="preserve">Click on "Create credentials" and select "OAuth client ID".</w:t>
      </w:r>
    </w:p>
    <w:p w:rsidR="00000000" w:rsidDel="00000000" w:rsidP="00000000" w:rsidRDefault="00000000" w:rsidRPr="00000000" w14:paraId="00000007">
      <w:pPr>
        <w:numPr>
          <w:ilvl w:val="0"/>
          <w:numId w:val="3"/>
        </w:numPr>
        <w:spacing w:before="200" w:lineRule="auto"/>
        <w:ind w:left="720" w:hanging="360"/>
      </w:pPr>
      <w:r w:rsidDel="00000000" w:rsidR="00000000" w:rsidRPr="00000000">
        <w:rPr>
          <w:rtl w:val="0"/>
        </w:rPr>
        <w:t xml:space="preserve">Select "Web application" as the application type.</w:t>
      </w:r>
    </w:p>
    <w:p w:rsidR="00000000" w:rsidDel="00000000" w:rsidP="00000000" w:rsidRDefault="00000000" w:rsidRPr="00000000" w14:paraId="00000008">
      <w:pPr>
        <w:numPr>
          <w:ilvl w:val="0"/>
          <w:numId w:val="3"/>
        </w:numPr>
        <w:spacing w:before="200" w:lineRule="auto"/>
        <w:ind w:left="720" w:hanging="360"/>
      </w:pPr>
      <w:r w:rsidDel="00000000" w:rsidR="00000000" w:rsidRPr="00000000">
        <w:rPr>
          <w:rtl w:val="0"/>
        </w:rPr>
        <w:t xml:space="preserve">Under "Name", fill “SpecterX Authentication”</w:t>
      </w:r>
    </w:p>
    <w:p w:rsidR="00000000" w:rsidDel="00000000" w:rsidP="00000000" w:rsidRDefault="00000000" w:rsidRPr="00000000" w14:paraId="00000009">
      <w:pPr>
        <w:numPr>
          <w:ilvl w:val="0"/>
          <w:numId w:val="3"/>
        </w:numPr>
        <w:spacing w:before="200" w:lineRule="auto"/>
        <w:ind w:left="720" w:hanging="360"/>
      </w:pPr>
      <w:r w:rsidDel="00000000" w:rsidR="00000000" w:rsidRPr="00000000">
        <w:rPr>
          <w:rtl w:val="0"/>
        </w:rPr>
        <w:t xml:space="preserve">Under "Authorized redirect URIs", fill in the following URLs:</w:t>
      </w:r>
      <w:r w:rsidDel="00000000" w:rsidR="00000000" w:rsidRPr="00000000">
        <w:rPr>
          <w:rtl w:val="0"/>
        </w:rPr>
      </w:r>
    </w:p>
    <w:p w:rsidR="00000000" w:rsidDel="00000000" w:rsidP="00000000" w:rsidRDefault="00000000" w:rsidRPr="00000000" w14:paraId="0000000A">
      <w:pPr>
        <w:numPr>
          <w:ilvl w:val="1"/>
          <w:numId w:val="3"/>
        </w:numPr>
        <w:ind w:left="1440" w:hanging="360"/>
        <w:rPr>
          <w:color w:val="103cc0"/>
          <w:highlight w:val="white"/>
        </w:rPr>
      </w:pPr>
      <w:hyperlink r:id="rId7">
        <w:r w:rsidDel="00000000" w:rsidR="00000000" w:rsidRPr="00000000">
          <w:rPr>
            <w:color w:val="1155cc"/>
            <w:highlight w:val="white"/>
            <w:u w:val="single"/>
            <w:rtl w:val="0"/>
          </w:rPr>
          <w:t xml:space="preserve">https://</w:t>
        </w:r>
      </w:hyperlink>
      <w:hyperlink r:id="rId8">
        <w:r w:rsidDel="00000000" w:rsidR="00000000" w:rsidRPr="00000000">
          <w:rPr>
            <w:color w:val="1155cc"/>
            <w:u w:val="single"/>
            <w:rtl w:val="0"/>
          </w:rPr>
          <w:t xml:space="preserve">&lt;tenant_subdomain&gt;</w:t>
        </w:r>
      </w:hyperlink>
      <w:hyperlink r:id="rId9">
        <w:r w:rsidDel="00000000" w:rsidR="00000000" w:rsidRPr="00000000">
          <w:rPr>
            <w:color w:val="1155cc"/>
            <w:highlight w:val="white"/>
            <w:u w:val="single"/>
            <w:rtl w:val="0"/>
          </w:rPr>
          <w:t xml:space="preserve">-users.auth.eu-central-1.amazoncognito.com/saml2/idpresponse</w:t>
        </w:r>
      </w:hyperlink>
      <w:r w:rsidDel="00000000" w:rsidR="00000000" w:rsidRPr="00000000">
        <w:rPr>
          <w:rtl w:val="0"/>
        </w:rPr>
      </w:r>
    </w:p>
    <w:p w:rsidR="00000000" w:rsidDel="00000000" w:rsidP="00000000" w:rsidRDefault="00000000" w:rsidRPr="00000000" w14:paraId="0000000B">
      <w:pPr>
        <w:numPr>
          <w:ilvl w:val="1"/>
          <w:numId w:val="3"/>
        </w:numPr>
        <w:ind w:left="1440" w:hanging="360"/>
        <w:rPr>
          <w:color w:val="103cc0"/>
          <w:highlight w:val="white"/>
        </w:rPr>
      </w:pPr>
      <w:hyperlink r:id="rId10">
        <w:r w:rsidDel="00000000" w:rsidR="00000000" w:rsidRPr="00000000">
          <w:rPr>
            <w:color w:val="1155cc"/>
            <w:highlight w:val="white"/>
            <w:u w:val="single"/>
            <w:rtl w:val="0"/>
          </w:rPr>
          <w:t xml:space="preserve">https://</w:t>
        </w:r>
      </w:hyperlink>
      <w:hyperlink r:id="rId11">
        <w:r w:rsidDel="00000000" w:rsidR="00000000" w:rsidRPr="00000000">
          <w:rPr>
            <w:color w:val="1155cc"/>
            <w:u w:val="single"/>
            <w:rtl w:val="0"/>
          </w:rPr>
          <w:t xml:space="preserve">&lt;tenant_subdomain&gt;</w:t>
        </w:r>
      </w:hyperlink>
      <w:hyperlink r:id="rId12">
        <w:r w:rsidDel="00000000" w:rsidR="00000000" w:rsidRPr="00000000">
          <w:rPr>
            <w:color w:val="1155cc"/>
            <w:highlight w:val="white"/>
            <w:u w:val="single"/>
            <w:rtl w:val="0"/>
          </w:rPr>
          <w:t xml:space="preserve">-users.auth.eu-central-1.amazoncognito.com/oauth2/idpresponse</w:t>
        </w:r>
      </w:hyperlink>
      <w:r w:rsidDel="00000000" w:rsidR="00000000" w:rsidRPr="00000000">
        <w:rPr>
          <w:color w:val="103cc0"/>
          <w:highlight w:val="white"/>
          <w:rtl w:val="0"/>
        </w:rPr>
        <w:t xml:space="preserve"> </w:t>
      </w:r>
      <w:r w:rsidDel="00000000" w:rsidR="00000000" w:rsidRPr="00000000">
        <w:rPr>
          <w:rtl w:val="0"/>
        </w:rPr>
      </w:r>
    </w:p>
    <w:p w:rsidR="00000000" w:rsidDel="00000000" w:rsidP="00000000" w:rsidRDefault="00000000" w:rsidRPr="00000000" w14:paraId="0000000C">
      <w:pPr>
        <w:numPr>
          <w:ilvl w:val="0"/>
          <w:numId w:val="3"/>
        </w:numPr>
        <w:spacing w:before="200" w:lineRule="auto"/>
        <w:ind w:left="720" w:hanging="360"/>
      </w:pPr>
      <w:r w:rsidDel="00000000" w:rsidR="00000000" w:rsidRPr="00000000">
        <w:rPr>
          <w:rtl w:val="0"/>
        </w:rPr>
        <w:t xml:space="preserve">Click on "Create".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Your new OAuth client ID and client secret will be displayed. Send these values to the SpecterX operative that’s been in contact with you, and we’ll set up the integration to your Google Auth in SpecterX.</w:t>
      </w:r>
    </w:p>
    <w:p w:rsidR="00000000" w:rsidDel="00000000" w:rsidP="00000000" w:rsidRDefault="00000000" w:rsidRPr="00000000" w14:paraId="0000000F">
      <w:pPr>
        <w:pStyle w:val="Heading3"/>
        <w:rPr/>
      </w:pPr>
      <w:bookmarkStart w:colFirst="0" w:colLast="0" w:name="_t5kod9nyfthk" w:id="2"/>
      <w:bookmarkEnd w:id="2"/>
      <w:r w:rsidDel="00000000" w:rsidR="00000000" w:rsidRPr="00000000">
        <w:rPr>
          <w:rtl w:val="0"/>
        </w:rPr>
        <w:t xml:space="preserve">Making the Google OAuth Client publicly accessible</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Go to cloud console (</w:t>
      </w:r>
      <w:hyperlink r:id="rId13">
        <w:r w:rsidDel="00000000" w:rsidR="00000000" w:rsidRPr="00000000">
          <w:rPr>
            <w:color w:val="1155cc"/>
            <w:u w:val="single"/>
            <w:rtl w:val="0"/>
          </w:rPr>
          <w:t xml:space="preserve">https://console.cloud.google.com/apis/</w:t>
        </w:r>
      </w:hyperlink>
      <w:r w:rsidDel="00000000" w:rsidR="00000000" w:rsidRPr="00000000">
        <w:rPr>
          <w:rtl w:val="0"/>
        </w:rPr>
        <w:t xml:space="preserve">)</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Natigate to ‘APIs and services’, and then to ‘Credentials’</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Go to the ‘OAuth consent screen’ tab</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Ensure Application type is set to "public" and not internal.</w:t>
      </w:r>
    </w:p>
    <w:p w:rsidR="00000000" w:rsidDel="00000000" w:rsidP="00000000" w:rsidRDefault="00000000" w:rsidRPr="00000000" w14:paraId="00000014">
      <w:pPr>
        <w:pStyle w:val="Heading3"/>
        <w:pBdr>
          <w:bottom w:color="auto" w:space="0" w:sz="0" w:val="none"/>
        </w:pBdr>
        <w:spacing w:after="80" w:before="360" w:lineRule="auto"/>
        <w:rPr/>
      </w:pPr>
      <w:bookmarkStart w:colFirst="0" w:colLast="0" w:name="_wswnq7wij8dn" w:id="3"/>
      <w:bookmarkEnd w:id="3"/>
      <w:r w:rsidDel="00000000" w:rsidR="00000000" w:rsidRPr="00000000">
        <w:rPr>
          <w:rtl w:val="0"/>
        </w:rPr>
        <w:t xml:space="preserve">Adding the App as Trusted in Google Workspace</w:t>
      </w:r>
    </w:p>
    <w:p w:rsidR="00000000" w:rsidDel="00000000" w:rsidP="00000000" w:rsidRDefault="00000000" w:rsidRPr="00000000" w14:paraId="00000015">
      <w:pPr>
        <w:spacing w:after="240" w:before="240" w:lineRule="auto"/>
        <w:rPr/>
      </w:pPr>
      <w:r w:rsidDel="00000000" w:rsidR="00000000" w:rsidRPr="00000000">
        <w:rPr>
          <w:rtl w:val="0"/>
        </w:rPr>
        <w:t xml:space="preserve">To ensure smooth OAuth authentication, and to prevent OAuth blockages, the customer's admin should perform the following steps:</w:t>
      </w:r>
    </w:p>
    <w:p w:rsidR="00000000" w:rsidDel="00000000" w:rsidP="00000000" w:rsidRDefault="00000000" w:rsidRPr="00000000" w14:paraId="00000016">
      <w:pPr>
        <w:spacing w:after="80" w:before="280" w:lineRule="auto"/>
        <w:rPr/>
      </w:pPr>
      <w:r w:rsidDel="00000000" w:rsidR="00000000" w:rsidRPr="00000000">
        <w:rPr>
          <w:rtl w:val="0"/>
        </w:rPr>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rtl w:val="0"/>
        </w:rPr>
        <w:t xml:space="preserve">Log into the Google Admin Console: </w:t>
      </w:r>
      <w:hyperlink r:id="rId14">
        <w:r w:rsidDel="00000000" w:rsidR="00000000" w:rsidRPr="00000000">
          <w:rPr>
            <w:color w:val="1155cc"/>
            <w:u w:val="single"/>
            <w:rtl w:val="0"/>
          </w:rPr>
          <w:t xml:space="preserve">admin.google.com</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Fonts w:ascii="Nova Mono" w:cs="Nova Mono" w:eastAsia="Nova Mono" w:hAnsi="Nova Mono"/>
          <w:rtl w:val="0"/>
        </w:rPr>
        <w:t xml:space="preserve">Navigate to API Controls: Select Security → Access and data control → API Controls.</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Manage Third-party App Access: Under Third-party app access, click “Manage third-party app access.”</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Add the OAuth App: Click the Add app button and select OAuth App name or Client ID.</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Enter the Client ID: Paste the Client ID provided after creating new OAuth credentials, and click Search.</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Select and Trust the App:</w:t>
      </w:r>
    </w:p>
    <w:p w:rsidR="00000000" w:rsidDel="00000000" w:rsidP="00000000" w:rsidRDefault="00000000" w:rsidRPr="00000000" w14:paraId="0000001D">
      <w:pPr>
        <w:numPr>
          <w:ilvl w:val="1"/>
          <w:numId w:val="1"/>
        </w:numPr>
        <w:spacing w:after="0" w:afterAutospacing="0" w:before="0" w:beforeAutospacing="0" w:lineRule="auto"/>
        <w:ind w:left="1440" w:hanging="360"/>
      </w:pPr>
      <w:r w:rsidDel="00000000" w:rsidR="00000000" w:rsidRPr="00000000">
        <w:rPr>
          <w:rtl w:val="0"/>
        </w:rPr>
        <w:t xml:space="preserve">Select your application from the search results.</w:t>
      </w:r>
    </w:p>
    <w:p w:rsidR="00000000" w:rsidDel="00000000" w:rsidP="00000000" w:rsidRDefault="00000000" w:rsidRPr="00000000" w14:paraId="0000001E">
      <w:pPr>
        <w:numPr>
          <w:ilvl w:val="1"/>
          <w:numId w:val="1"/>
        </w:numPr>
        <w:spacing w:after="0" w:afterAutospacing="0" w:before="0" w:beforeAutospacing="0" w:lineRule="auto"/>
        <w:ind w:left="1440" w:hanging="360"/>
      </w:pPr>
      <w:r w:rsidDel="00000000" w:rsidR="00000000" w:rsidRPr="00000000">
        <w:rPr>
          <w:rtl w:val="0"/>
        </w:rPr>
        <w:t xml:space="preserve">Click Select, then mark the app as Trusted.</w:t>
      </w:r>
    </w:p>
    <w:p w:rsidR="00000000" w:rsidDel="00000000" w:rsidP="00000000" w:rsidRDefault="00000000" w:rsidRPr="00000000" w14:paraId="0000001F">
      <w:pPr>
        <w:numPr>
          <w:ilvl w:val="1"/>
          <w:numId w:val="1"/>
        </w:numPr>
        <w:spacing w:after="0" w:afterAutospacing="0" w:before="0" w:beforeAutospacing="0" w:lineRule="auto"/>
        <w:ind w:left="1440" w:hanging="360"/>
      </w:pPr>
      <w:r w:rsidDel="00000000" w:rsidR="00000000" w:rsidRPr="00000000">
        <w:rPr>
          <w:rtl w:val="0"/>
        </w:rPr>
        <w:t xml:space="preserve">Optionally, you can restrict access by Organizational Units (OU) or specific groups if needed.</w:t>
      </w:r>
    </w:p>
    <w:p w:rsidR="00000000" w:rsidDel="00000000" w:rsidP="00000000" w:rsidRDefault="00000000" w:rsidRPr="00000000" w14:paraId="00000020">
      <w:pPr>
        <w:numPr>
          <w:ilvl w:val="0"/>
          <w:numId w:val="1"/>
        </w:numPr>
        <w:spacing w:after="240" w:before="0" w:beforeAutospacing="0" w:lineRule="auto"/>
        <w:ind w:left="720" w:hanging="360"/>
      </w:pPr>
      <w:r w:rsidDel="00000000" w:rsidR="00000000" w:rsidRPr="00000000">
        <w:rPr>
          <w:rtl w:val="0"/>
        </w:rPr>
        <w:t xml:space="preserve">Save Your Changes: Click Save to apply your settings.</w:t>
      </w:r>
    </w:p>
    <w:p w:rsidR="00000000" w:rsidDel="00000000" w:rsidP="00000000" w:rsidRDefault="00000000" w:rsidRPr="00000000" w14:paraId="00000021">
      <w:pPr>
        <w:spacing w:after="240" w:before="240" w:lineRule="auto"/>
        <w:rPr/>
      </w:pPr>
      <w:r w:rsidDel="00000000" w:rsidR="00000000" w:rsidRPr="00000000">
        <w:rPr>
          <w:rtl w:val="0"/>
        </w:rPr>
        <w:t xml:space="preserve">Your OAuth app is now added as a trusted.</w:t>
      </w:r>
    </w:p>
    <w:p w:rsidR="00000000" w:rsidDel="00000000" w:rsidP="00000000" w:rsidRDefault="00000000" w:rsidRPr="00000000" w14:paraId="00000022">
      <w:pPr>
        <w:rPr/>
      </w:pPr>
      <w:r w:rsidDel="00000000" w:rsidR="00000000" w:rsidRPr="00000000">
        <w:rPr>
          <w:rtl w:val="0"/>
        </w:rPr>
        <w:t xml:space="preserve">For reference, here is what an OAuth blockage looks like:</w:t>
      </w:r>
    </w:p>
    <w:p w:rsidR="00000000" w:rsidDel="00000000" w:rsidP="00000000" w:rsidRDefault="00000000" w:rsidRPr="00000000" w14:paraId="00000023">
      <w:pPr>
        <w:bidi w:val="1"/>
        <w:rPr/>
      </w:pPr>
      <w:r w:rsidDel="00000000" w:rsidR="00000000" w:rsidRPr="00000000">
        <w:rPr/>
        <w:drawing>
          <wp:inline distB="114300" distT="114300" distL="114300" distR="114300">
            <wp:extent cx="5943600" cy="2616200"/>
            <wp:effectExtent b="0" l="0" r="0" t="0"/>
            <wp:docPr id="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3"/>
        <w:rPr/>
      </w:pPr>
      <w:bookmarkStart w:colFirst="0" w:colLast="0" w:name="_u6wmlzm7ocb9" w:id="4"/>
      <w:bookmarkEnd w:id="4"/>
      <w:r w:rsidDel="00000000" w:rsidR="00000000" w:rsidRPr="00000000">
        <w:rPr>
          <w:rtl w:val="0"/>
        </w:rPr>
      </w:r>
    </w:p>
    <w:sectPr>
      <w:headerReference r:id="rId16" w:type="default"/>
      <w:footerReference r:id="rId17" w:type="default"/>
      <w:pgSz w:h="15840" w:w="12240" w:orient="portrait"/>
      <w:pgMar w:bottom="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-904874</wp:posOffset>
          </wp:positionH>
          <wp:positionV relativeFrom="paragraph">
            <wp:posOffset>190500</wp:posOffset>
          </wp:positionV>
          <wp:extent cx="7770495" cy="448310"/>
          <wp:effectExtent b="0" l="0" r="0" t="0"/>
          <wp:wrapSquare wrapText="bothSides" distB="0" distT="0" distL="0" distR="0"/>
          <wp:docPr descr="footer graphic" id="5" name="image1.png"/>
          <a:graphic>
            <a:graphicData uri="http://schemas.openxmlformats.org/drawingml/2006/picture">
              <pic:pic>
                <pic:nvPicPr>
                  <pic:cNvPr descr="footer graphic" id="0" name="image1.png"/>
                  <pic:cNvPicPr preferRelativeResize="0"/>
                </pic:nvPicPr>
                <pic:blipFill>
                  <a:blip r:embed="rId1"/>
                  <a:srcRect b="4464" l="0" r="0" t="-4464"/>
                  <a:stretch>
                    <a:fillRect/>
                  </a:stretch>
                </pic:blipFill>
                <pic:spPr>
                  <a:xfrm>
                    <a:off x="0" y="0"/>
                    <a:ext cx="7770495" cy="44831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2" name=""/>
              <a:graphic>
                <a:graphicData uri="http://schemas.microsoft.com/office/word/2010/wordprocessingShape">
                  <wps:wsp>
                    <wps:cNvSpPr/>
                    <wps:cNvPr id="3" name="Shape 3"/>
                    <wps:spPr>
                      <a:xfrm>
                        <a:off x="4751420" y="3596359"/>
                        <a:ext cx="1189160" cy="3672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2"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1198685" cy="37680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1" name=""/>
              <a:graphic>
                <a:graphicData uri="http://schemas.microsoft.com/office/word/2010/wordprocessingShape">
                  <wps:wsp>
                    <wps:cNvSpPr/>
                    <wps:cNvPr id="2" name="Shape 2"/>
                    <wps:spPr>
                      <a:xfrm>
                        <a:off x="3624150" y="3524250"/>
                        <a:ext cx="3443700" cy="511500"/>
                      </a:xfrm>
                      <a:prstGeom prst="rect">
                        <a:avLst/>
                      </a:prstGeom>
                      <a:noFill/>
                      <a:ln>
                        <a:noFill/>
                      </a:ln>
                    </wps:spPr>
                    <wps:txbx>
                      <w:txbxContent>
                        <w:p w:rsidR="00000000" w:rsidDel="00000000" w:rsidP="00000000" w:rsidRDefault="00000000" w:rsidRPr="00000000">
                          <w:pPr>
                            <w:spacing w:after="0" w:before="0" w:line="334.9999809265137"/>
                            <w:ind w:left="-15" w:right="0" w:firstLine="-60"/>
                            <w:jc w:val="right"/>
                            <w:textDirection w:val="btLr"/>
                          </w:pPr>
                          <w:r w:rsidDel="00000000" w:rsidR="00000000" w:rsidRPr="00000000">
                            <w:rPr>
                              <w:rFonts w:ascii="Roboto" w:cs="Roboto" w:eastAsia="Roboto" w:hAnsi="Roboto"/>
                              <w:b w:val="0"/>
                              <w:i w:val="0"/>
                              <w:smallCaps w:val="0"/>
                              <w:strike w:val="0"/>
                              <w:color w:val="cccccc"/>
                              <w:sz w:val="26"/>
                              <w:vertAlign w:val="baseline"/>
                            </w:rPr>
                            <w:t xml:space="preserve">Manual</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447925" cy="376604"/>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5991225</wp:posOffset>
          </wp:positionH>
          <wp:positionV relativeFrom="paragraph">
            <wp:posOffset>-457197</wp:posOffset>
          </wp:positionV>
          <wp:extent cx="871538" cy="871538"/>
          <wp:effectExtent b="0" l="0" r="0" t="0"/>
          <wp:wrapTopAndBottom distB="0" distT="0"/>
          <wp:docPr descr="corner graphic" id="3" name="image2.png"/>
          <a:graphic>
            <a:graphicData uri="http://schemas.openxmlformats.org/drawingml/2006/picture">
              <pic:pic>
                <pic:nvPicPr>
                  <pic:cNvPr descr="corner graphic" id="0" name="image2.png"/>
                  <pic:cNvPicPr preferRelativeResize="0"/>
                </pic:nvPicPr>
                <pic:blipFill>
                  <a:blip r:embed="rId2"/>
                  <a:srcRect b="0" l="0" r="0" t="0"/>
                  <a:stretch>
                    <a:fillRect/>
                  </a:stretch>
                </pic:blipFill>
                <pic:spPr>
                  <a:xfrm>
                    <a:off x="0" y="0"/>
                    <a:ext cx="871538" cy="8715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-742948</wp:posOffset>
          </wp:positionH>
          <wp:positionV relativeFrom="paragraph">
            <wp:posOffset>-314322</wp:posOffset>
          </wp:positionV>
          <wp:extent cx="1610226" cy="419100"/>
          <wp:effectExtent b="0" l="0" r="0" t="0"/>
          <wp:wrapTopAndBottom distB="114300" distT="114300"/>
          <wp:docPr id="6"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1610226"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360" w:lineRule="auto"/>
    </w:pPr>
    <w:rPr>
      <w:color w:val="666666"/>
      <w:sz w:val="42"/>
      <w:szCs w:val="42"/>
    </w:rPr>
  </w:style>
  <w:style w:type="paragraph" w:styleId="Heading2">
    <w:name w:val="heading 2"/>
    <w:basedOn w:val="Normal"/>
    <w:next w:val="Normal"/>
    <w:pPr>
      <w:pBdr>
        <w:bottom w:color="45e3d4" w:space="2" w:sz="8" w:val="single"/>
      </w:pBdr>
      <w:spacing w:after="200" w:before="200" w:lineRule="auto"/>
    </w:pPr>
    <w:rPr>
      <w:rFonts w:ascii="Arial" w:cs="Arial" w:eastAsia="Arial" w:hAnsi="Arial"/>
      <w:color w:val="091f56"/>
      <w:sz w:val="32"/>
      <w:szCs w:val="32"/>
    </w:rPr>
  </w:style>
  <w:style w:type="paragraph" w:styleId="Heading3">
    <w:name w:val="heading 3"/>
    <w:basedOn w:val="Normal"/>
    <w:next w:val="Normal"/>
    <w:pPr>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spacing w:after="200" w:before="200" w:lineRule="auto"/>
    </w:pPr>
    <w:rPr>
      <w:color w:val="6b96e6"/>
      <w:sz w:val="24"/>
      <w:szCs w:val="24"/>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b w:val="1"/>
      <w:bCs w:val="1"/>
      <w:color w:val="6b96e6"/>
    </w:rPr>
  </w:style>
  <w:style w:type="paragraph" w:styleId="Title">
    <w:name w:val="Title"/>
    <w:basedOn w:val="Normal"/>
    <w:next w:val="Normal"/>
    <w:pPr>
      <w:spacing w:before="400" w:line="240" w:lineRule="auto"/>
    </w:pPr>
    <w:rPr>
      <w:color w:val="0b5394"/>
      <w:sz w:val="52"/>
      <w:szCs w:val="52"/>
    </w:rPr>
  </w:style>
  <w:style w:type="paragraph" w:styleId="Subtitle">
    <w:name w:val="Subtitle"/>
    <w:basedOn w:val="Normal"/>
    <w:next w:val="Normal"/>
    <w:pPr/>
    <w:rPr>
      <w:color w:val="3c78d8"/>
    </w:rPr>
  </w:style>
</w:styles>
</file>

<file path=word/_rels/document.xml.rels><?xml version="1.0" encoding="UTF-8" standalone="yes"?><Relationships xmlns="http://schemas.openxmlformats.org/package/2006/relationships"><Relationship Id="rId11" Type="http://schemas.openxmlformats.org/officeDocument/2006/relationships/hyperlink" Target="https://incd.specterx.com" TargetMode="External"/><Relationship Id="rId10" Type="http://schemas.openxmlformats.org/officeDocument/2006/relationships/hyperlink" Target="about:blank" TargetMode="External"/><Relationship Id="rId13" Type="http://schemas.openxmlformats.org/officeDocument/2006/relationships/hyperlink" Target="https://console.cloud.google.com/apis/" TargetMode="External"/><Relationship Id="rId12" Type="http://schemas.openxmlformats.org/officeDocument/2006/relationships/hyperlink" Target="about:bla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about:blank" TargetMode="External"/><Relationship Id="rId15" Type="http://schemas.openxmlformats.org/officeDocument/2006/relationships/image" Target="media/image4.png"/><Relationship Id="rId14" Type="http://schemas.openxmlformats.org/officeDocument/2006/relationships/hyperlink" Target="https://admin.google.com/"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console.developers.google.com/" TargetMode="External"/><Relationship Id="rId7" Type="http://schemas.openxmlformats.org/officeDocument/2006/relationships/hyperlink" Target="about:blank" TargetMode="External"/><Relationship Id="rId8" Type="http://schemas.openxmlformats.org/officeDocument/2006/relationships/hyperlink" Target="https://incd.specterx.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