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לצפות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באירועי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הגישה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Audit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-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Logs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952820" cy="35290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3952820" cy="352901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52820" cy="3529013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2820" cy="35290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pStyle w:val="Heading3"/>
        <w:bidi w:val="1"/>
        <w:rPr/>
      </w:pPr>
      <w:bookmarkStart w:colFirst="0" w:colLast="0" w:name="_673zlg33mlk4" w:id="3"/>
      <w:bookmarkEnd w:id="3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jc w:val="righ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https://specterx.mivtachim.co.il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bidi w:val="1"/>
        <w:rPr/>
      </w:pPr>
      <w:bookmarkStart w:colFirst="0" w:colLast="0" w:name="_o1ymqqkhvlzn" w:id="4"/>
      <w:bookmarkEnd w:id="4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bidi w:val="1"/>
        <w:rPr/>
      </w:pPr>
      <w:bookmarkStart w:colFirst="0" w:colLast="0" w:name="_xcq4299nxf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bidi w:val="1"/>
        <w:rPr/>
      </w:pPr>
      <w:bookmarkStart w:colFirst="0" w:colLast="0" w:name="_39n49tuhnuku" w:id="6"/>
      <w:bookmarkEnd w:id="6"/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לפלטפורמה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Permissions added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Denied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Possible Leak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מורשה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-774374</wp:posOffset>
            </wp:positionH>
            <wp:positionV relativeFrom="paragraph">
              <wp:posOffset>209550</wp:posOffset>
            </wp:positionV>
            <wp:extent cx="7281015" cy="3186113"/>
            <wp:effectExtent b="0" l="0" r="0" t="0"/>
            <wp:wrapSquare wrapText="bothSides" distB="114300" distT="11430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1015" cy="3186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first"/>
      <w:headerReference r:id="rId13" w:type="default"/>
      <w:footerReference r:id="rId14" w:type="first"/>
      <w:footerReference r:id="rId15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7.png"/>
          <a:graphic>
            <a:graphicData uri="http://schemas.openxmlformats.org/drawingml/2006/picture">
              <pic:pic>
                <pic:nvPicPr>
                  <pic:cNvPr descr="footer graphic" id="0" name="image7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8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0" name="image3.png"/>
          <a:graphic>
            <a:graphicData uri="http://schemas.openxmlformats.org/drawingml/2006/picture">
              <pic:pic>
                <pic:nvPicPr>
                  <pic:cNvPr descr="geometric_corner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specterx.com" TargetMode="External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hyperlink" Target="https://specterx.mivtachim.co.il/audi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0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