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120" w:line="276" w:lineRule="auto"/>
        <w:rPr/>
      </w:pPr>
      <w:bookmarkStart w:colFirst="0" w:colLast="0" w:name="_8cjbip7wbfr7" w:id="0"/>
      <w:bookmarkEnd w:id="0"/>
      <w:r w:rsidDel="00000000" w:rsidR="00000000" w:rsidRPr="00000000">
        <w:rPr>
          <w:rtl w:val="0"/>
        </w:rPr>
        <w:t xml:space="preserve">SpecterX Platform Governance Rules — Release Notes</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Release Date:</w:t>
      </w:r>
      <w:r w:rsidDel="00000000" w:rsidR="00000000" w:rsidRPr="00000000">
        <w:rPr>
          <w:rtl w:val="0"/>
        </w:rPr>
        <w:t xml:space="preserve"> (Pending end of Feb)</w:t>
        <w:br w:type="textWrapping"/>
        <w:t xml:space="preserve"> </w:t>
      </w:r>
      <w:r w:rsidDel="00000000" w:rsidR="00000000" w:rsidRPr="00000000">
        <w:rPr>
          <w:b w:val="1"/>
          <w:bCs w:val="1"/>
          <w:rtl w:val="0"/>
        </w:rPr>
        <w:t xml:space="preserve">Release Version:</w:t>
      </w:r>
      <w:r w:rsidDel="00000000" w:rsidR="00000000" w:rsidRPr="00000000">
        <w:rPr>
          <w:rtl w:val="0"/>
        </w:rPr>
        <w:t xml:space="preserve"> V1</w:t>
        <w:br w:type="textWrapping"/>
        <w:t xml:space="preserve"> </w:t>
      </w:r>
      <w:r w:rsidDel="00000000" w:rsidR="00000000" w:rsidRPr="00000000">
        <w:rPr>
          <w:b w:val="1"/>
          <w:bCs w:val="1"/>
          <w:rtl w:val="0"/>
        </w:rPr>
        <w:t xml:space="preserve">Availability:</w:t>
      </w:r>
      <w:r w:rsidDel="00000000" w:rsidR="00000000" w:rsidRPr="00000000">
        <w:rPr>
          <w:rtl w:val="0"/>
        </w:rPr>
        <w:t xml:space="preserve"> Early Access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pBdr>
          <w:bottom w:color="auto" w:space="0" w:sz="0" w:val="none"/>
        </w:pBdr>
        <w:spacing w:after="80" w:before="360" w:lineRule="auto"/>
        <w:rPr/>
      </w:pPr>
      <w:bookmarkStart w:colFirst="0" w:colLast="0" w:name="_9z2efwnq038x" w:id="1"/>
      <w:bookmarkEnd w:id="1"/>
      <w:r w:rsidDel="00000000" w:rsidR="00000000" w:rsidRPr="00000000">
        <w:rPr>
          <w:rtl w:val="0"/>
        </w:rPr>
        <w:t xml:space="preserve">Overview</w:t>
      </w:r>
    </w:p>
    <w:p w:rsidR="00000000" w:rsidDel="00000000" w:rsidP="00000000" w:rsidRDefault="00000000" w:rsidRPr="00000000" w14:paraId="00000005">
      <w:pPr>
        <w:spacing w:after="240" w:before="240" w:lineRule="auto"/>
        <w:rPr/>
      </w:pPr>
      <w:r w:rsidDel="00000000" w:rsidR="00000000" w:rsidRPr="00000000">
        <w:rPr>
          <w:rtl w:val="0"/>
        </w:rPr>
        <w:t xml:space="preserve">Platform Governance Rules introduce automated, policy-based governance that evaluates every file sharing event and enforces organizational security decisions in real time.</w:t>
      </w:r>
    </w:p>
    <w:p w:rsidR="00000000" w:rsidDel="00000000" w:rsidP="00000000" w:rsidRDefault="00000000" w:rsidRPr="00000000" w14:paraId="00000006">
      <w:pPr>
        <w:spacing w:after="240" w:before="240" w:lineRule="auto"/>
        <w:rPr/>
      </w:pPr>
      <w:r w:rsidDel="00000000" w:rsidR="00000000" w:rsidRPr="00000000">
        <w:rPr>
          <w:rtl w:val="0"/>
        </w:rPr>
        <w:t xml:space="preserve">SpecterX has always enforced zero-trust controls at the file and policy level, ensuring shared files remain protected after access is granted. With this release, SpecterX extends zero-trust enforcement to the platform level, evaluating every share at the moment it is initiated and enforcing organizational policy before access is provisioned.</w:t>
      </w:r>
    </w:p>
    <w:p w:rsidR="00000000" w:rsidDel="00000000" w:rsidP="00000000" w:rsidRDefault="00000000" w:rsidRPr="00000000" w14:paraId="00000007">
      <w:pPr>
        <w:spacing w:after="240" w:before="240" w:lineRule="auto"/>
        <w:rPr/>
      </w:pPr>
      <w:r w:rsidDel="00000000" w:rsidR="00000000" w:rsidRPr="00000000">
        <w:rPr>
          <w:rtl w:val="0"/>
        </w:rPr>
        <w:t xml:space="preserve">This establishes SpecterX as a managed governance gateway, where sharing decisions are automatically assessed based on file sensitivity, sender identity, recipient identity, and organizational policy. Users can continue working freely within their normal workflows, while Platform Governance Rules ensure sharing occurs only within the security boundaries defined by the organization.</w:t>
      </w:r>
    </w:p>
    <w:p w:rsidR="00000000" w:rsidDel="00000000" w:rsidP="00000000" w:rsidRDefault="00000000" w:rsidRPr="00000000" w14:paraId="00000008">
      <w:pPr>
        <w:spacing w:after="240" w:before="240" w:lineRule="auto"/>
        <w:rPr/>
      </w:pPr>
      <w:r w:rsidDel="00000000" w:rsidR="00000000" w:rsidRPr="00000000">
        <w:rPr>
          <w:rtl w:val="0"/>
        </w:rPr>
        <w:t xml:space="preserve">This release is delivered in tandem with SpecterX’s integration with Microsoft Purview Sensitivity Labels, which can be used as an additional governance input. Platform Governance Rules operate independently of Purview and enforce governance based on share context alone. Purview Sensitivity Labels enrich this context further, allowing organizations to extend existing classification investments into more granular, automated enforcement.</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3"/>
        <w:pBdr>
          <w:bottom w:color="auto" w:space="0" w:sz="0" w:val="none"/>
        </w:pBdr>
        <w:spacing w:after="80" w:before="360" w:lineRule="auto"/>
        <w:rPr/>
      </w:pPr>
      <w:bookmarkStart w:colFirst="0" w:colLast="0" w:name="_11bdtw3hq7ul" w:id="2"/>
      <w:bookmarkEnd w:id="2"/>
      <w:r w:rsidDel="00000000" w:rsidR="00000000" w:rsidRPr="00000000">
        <w:rPr>
          <w:rtl w:val="0"/>
        </w:rPr>
        <w:t xml:space="preserve">Establishing Platform Governance Rules</w:t>
      </w:r>
    </w:p>
    <w:p w:rsidR="00000000" w:rsidDel="00000000" w:rsidP="00000000" w:rsidRDefault="00000000" w:rsidRPr="00000000" w14:paraId="0000000B">
      <w:pPr>
        <w:pBdr>
          <w:bottom w:color="auto" w:space="0" w:sz="0" w:val="none"/>
        </w:pBdr>
        <w:spacing w:after="240" w:before="240" w:lineRule="auto"/>
        <w:rPr/>
      </w:pPr>
      <w:r w:rsidDel="00000000" w:rsidR="00000000" w:rsidRPr="00000000">
        <w:rPr>
          <w:rtl w:val="0"/>
        </w:rPr>
        <w:t xml:space="preserve">Platform Governance Rules allow administrators to define how the platform automatically governs file sharing activity based on organizational security requirements. Each rule evaluates the context of a share and enforces one of three governance actions: automatically assigning protection policies, blocking unauthorized recipients or domains, or enforcing baseline governance requirements with defined exceptions.</w:t>
      </w:r>
    </w:p>
    <w:p w:rsidR="00000000" w:rsidDel="00000000" w:rsidP="00000000" w:rsidRDefault="00000000" w:rsidRPr="00000000" w14:paraId="0000000C">
      <w:pPr>
        <w:pBdr>
          <w:bottom w:color="auto" w:space="0" w:sz="0" w:val="none"/>
        </w:pBdr>
        <w:spacing w:after="240" w:before="240" w:lineRule="auto"/>
        <w:rPr/>
      </w:pPr>
      <w:r w:rsidDel="00000000" w:rsidR="00000000" w:rsidRPr="00000000">
        <w:rPr>
          <w:rtl w:val="0"/>
        </w:rPr>
        <w:t xml:space="preserve">These rule actions operate at the platform level and are evaluated in real time based on share conditions such as sender identity, recipient trust level, file sensitivity, and sharing context. This ensures that protection, access restrictions, and governance controls are applied consistently and automatically, without relying on end-user judgment or manual administrative intervention.</w:t>
      </w:r>
    </w:p>
    <w:p w:rsidR="00000000" w:rsidDel="00000000" w:rsidP="00000000" w:rsidRDefault="00000000" w:rsidRPr="00000000" w14:paraId="0000000D">
      <w:pPr>
        <w:pBdr>
          <w:bottom w:color="auto" w:space="0" w:sz="0" w:val="none"/>
        </w:pBdr>
        <w:spacing w:after="240" w:before="240" w:lineRule="auto"/>
        <w:rPr/>
      </w:pPr>
      <w:r w:rsidDel="00000000" w:rsidR="00000000" w:rsidRPr="00000000">
        <w:rPr>
          <w:rtl w:val="0"/>
        </w:rPr>
        <w:t xml:space="preserve">The following sections describe each of the three governance actions that Platform Governance Rules can enforce.</w:t>
      </w:r>
    </w:p>
    <w:p w:rsidR="00000000" w:rsidDel="00000000" w:rsidP="00000000" w:rsidRDefault="00000000" w:rsidRPr="00000000" w14:paraId="0000000E">
      <w:pPr>
        <w:pStyle w:val="Heading3"/>
        <w:pBdr>
          <w:bottom w:color="auto" w:space="0" w:sz="0" w:val="none"/>
        </w:pBdr>
        <w:spacing w:after="80" w:before="360" w:lineRule="auto"/>
        <w:rPr/>
      </w:pPr>
      <w:bookmarkStart w:colFirst="0" w:colLast="0" w:name="_sxzuloc9xnbj" w:id="3"/>
      <w:bookmarkEnd w:id="3"/>
      <w:r w:rsidDel="00000000" w:rsidR="00000000" w:rsidRPr="00000000">
        <w:rPr>
          <w:rtl w:val="0"/>
        </w:rPr>
        <w:t xml:space="preserve">Automatic Policy Assignment</w:t>
      </w:r>
    </w:p>
    <w:p w:rsidR="00000000" w:rsidDel="00000000" w:rsidP="00000000" w:rsidRDefault="00000000" w:rsidRPr="00000000" w14:paraId="0000000F">
      <w:pPr>
        <w:spacing w:after="240" w:before="240" w:lineRule="auto"/>
        <w:rPr/>
      </w:pPr>
      <w:r w:rsidDel="00000000" w:rsidR="00000000" w:rsidRPr="00000000">
        <w:rPr>
          <w:rtl w:val="0"/>
        </w:rPr>
        <w:t xml:space="preserve">Platform Governance Rules automatically apply protection policies based on the full context of the share, ensuring files are governed appropriately without requiring user selection or manual administrative action.</w:t>
      </w:r>
    </w:p>
    <w:p w:rsidR="00000000" w:rsidDel="00000000" w:rsidP="00000000" w:rsidRDefault="00000000" w:rsidRPr="00000000" w14:paraId="00000010">
      <w:pPr>
        <w:spacing w:after="240" w:before="240" w:lineRule="auto"/>
        <w:rPr/>
      </w:pPr>
      <w:r w:rsidDel="00000000" w:rsidR="00000000" w:rsidRPr="00000000">
        <w:rPr>
          <w:rtl w:val="0"/>
        </w:rPr>
        <w:t xml:space="preserve">Policy assignment can be triggered based on:</w:t>
      </w:r>
    </w:p>
    <w:p w:rsidR="00000000" w:rsidDel="00000000" w:rsidP="00000000" w:rsidRDefault="00000000" w:rsidRPr="00000000" w14:paraId="00000011">
      <w:pPr>
        <w:numPr>
          <w:ilvl w:val="0"/>
          <w:numId w:val="2"/>
        </w:numPr>
        <w:spacing w:after="0" w:afterAutospacing="0" w:before="240" w:lineRule="auto"/>
        <w:ind w:left="720" w:hanging="360"/>
      </w:pPr>
      <w:r w:rsidDel="00000000" w:rsidR="00000000" w:rsidRPr="00000000">
        <w:rPr>
          <w:rtl w:val="0"/>
        </w:rPr>
        <w:t xml:space="preserve">Sender identity, role, or organizational group</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rtl w:val="0"/>
        </w:rPr>
        <w:t xml:space="preserve">Recipient identity, domain, or trust level</w:t>
        <w:br w:type="textWrapping"/>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rtl w:val="0"/>
        </w:rPr>
        <w:t xml:space="preserve">Internal versus external sharing context</w:t>
        <w:br w:type="textWrapping"/>
      </w:r>
    </w:p>
    <w:p w:rsidR="00000000" w:rsidDel="00000000" w:rsidP="00000000" w:rsidRDefault="00000000" w:rsidRPr="00000000" w14:paraId="00000014">
      <w:pPr>
        <w:numPr>
          <w:ilvl w:val="0"/>
          <w:numId w:val="2"/>
        </w:numPr>
        <w:spacing w:after="240" w:before="0" w:beforeAutospacing="0" w:lineRule="auto"/>
        <w:ind w:left="720" w:hanging="360"/>
      </w:pPr>
      <w:r w:rsidDel="00000000" w:rsidR="00000000" w:rsidRPr="00000000">
        <w:rPr>
          <w:rtl w:val="0"/>
        </w:rPr>
        <w:t xml:space="preserve">File sensitivity, including Microsoft Purview Sensitivity Labels (optional)</w:t>
        <w:br w:type="textWrapping"/>
      </w:r>
    </w:p>
    <w:p w:rsidR="00000000" w:rsidDel="00000000" w:rsidP="00000000" w:rsidRDefault="00000000" w:rsidRPr="00000000" w14:paraId="00000015">
      <w:pPr>
        <w:spacing w:after="240" w:before="240" w:lineRule="auto"/>
        <w:rPr/>
      </w:pPr>
      <w:r w:rsidDel="00000000" w:rsidR="00000000" w:rsidRPr="00000000">
        <w:rPr>
          <w:rtl w:val="0"/>
        </w:rPr>
        <w:t xml:space="preserve">Assigned policies enforce organizational security requirements automatically, including identity verification, access controls, encryption, expiration, and audit tracking.</w:t>
      </w:r>
    </w:p>
    <w:p w:rsidR="00000000" w:rsidDel="00000000" w:rsidP="00000000" w:rsidRDefault="00000000" w:rsidRPr="00000000" w14:paraId="00000016">
      <w:pPr>
        <w:spacing w:after="240" w:before="240" w:lineRule="auto"/>
        <w:rPr/>
      </w:pPr>
      <w:r w:rsidDel="00000000" w:rsidR="00000000" w:rsidRPr="00000000">
        <w:rPr>
          <w:rtl w:val="0"/>
        </w:rPr>
        <w:t xml:space="preserve">This ensures protection policies are applied consistently based on organizational policy and real-time sharing conditions, regardless of whether classification labels are present.</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pBdr>
          <w:bottom w:color="auto" w:space="0" w:sz="0" w:val="none"/>
        </w:pBdr>
        <w:spacing w:after="80" w:before="360" w:lineRule="auto"/>
        <w:rPr/>
      </w:pPr>
      <w:bookmarkStart w:colFirst="0" w:colLast="0" w:name="_mz1qoeue55d2" w:id="4"/>
      <w:bookmarkEnd w:id="4"/>
      <w:r w:rsidDel="00000000" w:rsidR="00000000" w:rsidRPr="00000000">
        <w:rPr>
          <w:rtl w:val="0"/>
        </w:rPr>
        <w:t xml:space="preserve">Recipient and Domain Blocking (Blacklist Enforcement)</w:t>
      </w:r>
    </w:p>
    <w:p w:rsidR="00000000" w:rsidDel="00000000" w:rsidP="00000000" w:rsidRDefault="00000000" w:rsidRPr="00000000" w14:paraId="00000019">
      <w:pPr>
        <w:spacing w:after="240" w:before="240" w:lineRule="auto"/>
        <w:rPr/>
      </w:pPr>
      <w:r w:rsidDel="00000000" w:rsidR="00000000" w:rsidRPr="00000000">
        <w:rPr>
          <w:rtl w:val="0"/>
        </w:rPr>
        <w:t xml:space="preserve">Platform Governance Rules introduce platform-level blocking controls that prevent sharing with unauthorized recipients or domains.</w:t>
      </w:r>
    </w:p>
    <w:p w:rsidR="00000000" w:rsidDel="00000000" w:rsidP="00000000" w:rsidRDefault="00000000" w:rsidRPr="00000000" w14:paraId="0000001A">
      <w:pPr>
        <w:spacing w:after="240" w:before="240" w:lineRule="auto"/>
        <w:rPr/>
      </w:pPr>
      <w:r w:rsidDel="00000000" w:rsidR="00000000" w:rsidRPr="00000000">
        <w:rPr>
          <w:rtl w:val="0"/>
        </w:rPr>
        <w:t xml:space="preserve">Blocking conditions can be defined based on:</w:t>
      </w:r>
    </w:p>
    <w:p w:rsidR="00000000" w:rsidDel="00000000" w:rsidP="00000000" w:rsidRDefault="00000000" w:rsidRPr="00000000" w14:paraId="0000001B">
      <w:pPr>
        <w:numPr>
          <w:ilvl w:val="0"/>
          <w:numId w:val="4"/>
        </w:numPr>
        <w:spacing w:after="0" w:afterAutospacing="0" w:before="240" w:lineRule="auto"/>
        <w:ind w:left="720" w:hanging="360"/>
      </w:pPr>
      <w:r w:rsidDel="00000000" w:rsidR="00000000" w:rsidRPr="00000000">
        <w:rPr>
          <w:rtl w:val="0"/>
        </w:rPr>
        <w:t xml:space="preserve">Specific recipient email addresses</w:t>
        <w:br w:type="textWrapping"/>
      </w:r>
    </w:p>
    <w:p w:rsidR="00000000" w:rsidDel="00000000" w:rsidP="00000000" w:rsidRDefault="00000000" w:rsidRPr="00000000" w14:paraId="0000001C">
      <w:pPr>
        <w:numPr>
          <w:ilvl w:val="0"/>
          <w:numId w:val="4"/>
        </w:numPr>
        <w:spacing w:after="0" w:afterAutospacing="0" w:before="0" w:beforeAutospacing="0" w:lineRule="auto"/>
        <w:ind w:left="720" w:hanging="360"/>
      </w:pPr>
      <w:r w:rsidDel="00000000" w:rsidR="00000000" w:rsidRPr="00000000">
        <w:rPr>
          <w:rtl w:val="0"/>
        </w:rPr>
        <w:t xml:space="preserve">Recipient domains</w:t>
        <w:br w:type="textWrapping"/>
      </w:r>
    </w:p>
    <w:p w:rsidR="00000000" w:rsidDel="00000000" w:rsidP="00000000" w:rsidRDefault="00000000" w:rsidRPr="00000000" w14:paraId="0000001D">
      <w:pPr>
        <w:numPr>
          <w:ilvl w:val="0"/>
          <w:numId w:val="4"/>
        </w:numPr>
        <w:spacing w:after="0" w:afterAutospacing="0" w:before="0" w:beforeAutospacing="0" w:lineRule="auto"/>
        <w:ind w:left="720" w:hanging="360"/>
      </w:pPr>
      <w:r w:rsidDel="00000000" w:rsidR="00000000" w:rsidRPr="00000000">
        <w:rPr>
          <w:rtl w:val="0"/>
        </w:rPr>
        <w:t xml:space="preserve">External sharing conditions</w:t>
        <w:br w:type="textWrapping"/>
      </w:r>
    </w:p>
    <w:p w:rsidR="00000000" w:rsidDel="00000000" w:rsidP="00000000" w:rsidRDefault="00000000" w:rsidRPr="00000000" w14:paraId="0000001E">
      <w:pPr>
        <w:numPr>
          <w:ilvl w:val="0"/>
          <w:numId w:val="4"/>
        </w:numPr>
        <w:spacing w:after="240" w:before="0" w:beforeAutospacing="0" w:lineRule="auto"/>
        <w:ind w:left="720" w:hanging="360"/>
      </w:pPr>
      <w:r w:rsidDel="00000000" w:rsidR="00000000" w:rsidRPr="00000000">
        <w:rPr>
          <w:rtl w:val="0"/>
        </w:rPr>
        <w:t xml:space="preserve">File sensitivity or classification, where applicable</w:t>
        <w:br w:type="textWrapping"/>
      </w:r>
    </w:p>
    <w:p w:rsidR="00000000" w:rsidDel="00000000" w:rsidP="00000000" w:rsidRDefault="00000000" w:rsidRPr="00000000" w14:paraId="0000001F">
      <w:pPr>
        <w:spacing w:after="240" w:before="240" w:lineRule="auto"/>
        <w:rPr/>
      </w:pPr>
      <w:r w:rsidDel="00000000" w:rsidR="00000000" w:rsidRPr="00000000">
        <w:rPr>
          <w:rtl w:val="0"/>
        </w:rPr>
        <w:t xml:space="preserve">When a blocking condition is met, access is prevented before it is provisioned. This ensures unauthorized sharing is automatically blocked at the gateway, protecting organizational data regardless of how the share is initiated.</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pBdr>
          <w:bottom w:color="auto" w:space="0" w:sz="0" w:val="none"/>
        </w:pBdr>
        <w:spacing w:after="80" w:before="360" w:lineRule="auto"/>
        <w:rPr/>
      </w:pPr>
      <w:bookmarkStart w:colFirst="0" w:colLast="0" w:name="_mq27vxf5fnyl" w:id="5"/>
      <w:bookmarkEnd w:id="5"/>
      <w:r w:rsidDel="00000000" w:rsidR="00000000" w:rsidRPr="00000000">
        <w:rPr>
          <w:rtl w:val="0"/>
        </w:rPr>
        <w:t xml:space="preserve">Organizational Baseline Enforcement with Controlled Exceptions</w:t>
      </w:r>
    </w:p>
    <w:p w:rsidR="00000000" w:rsidDel="00000000" w:rsidP="00000000" w:rsidRDefault="00000000" w:rsidRPr="00000000" w14:paraId="00000022">
      <w:pPr>
        <w:spacing w:after="240" w:before="240" w:lineRule="auto"/>
        <w:rPr/>
      </w:pPr>
      <w:r w:rsidDel="00000000" w:rsidR="00000000" w:rsidRPr="00000000">
        <w:rPr>
          <w:rtl w:val="0"/>
        </w:rPr>
        <w:t xml:space="preserve">Platform Governance Rules allow organizations to enforce baseline governance requirements across all sharing activity, ensuring consistent protection standards.</w:t>
      </w:r>
    </w:p>
    <w:p w:rsidR="00000000" w:rsidDel="00000000" w:rsidP="00000000" w:rsidRDefault="00000000" w:rsidRPr="00000000" w14:paraId="00000023">
      <w:pPr>
        <w:spacing w:after="240" w:before="240" w:lineRule="auto"/>
        <w:rPr/>
      </w:pPr>
      <w:r w:rsidDel="00000000" w:rsidR="00000000" w:rsidRPr="00000000">
        <w:rPr>
          <w:rtl w:val="0"/>
        </w:rPr>
        <w:t xml:space="preserve">Administrators can define requirements such as mandatory protection policies, identity verification, or audit tracking for sensitive data.</w:t>
      </w:r>
    </w:p>
    <w:p w:rsidR="00000000" w:rsidDel="00000000" w:rsidP="00000000" w:rsidRDefault="00000000" w:rsidRPr="00000000" w14:paraId="00000024">
      <w:pPr>
        <w:spacing w:after="240" w:before="240" w:lineRule="auto"/>
        <w:rPr/>
      </w:pPr>
      <w:r w:rsidDel="00000000" w:rsidR="00000000" w:rsidRPr="00000000">
        <w:rPr>
          <w:rtl w:val="0"/>
        </w:rPr>
        <w:t xml:space="preserve">Controlled exceptions may also be configured for authorized users, trusted recipients, or approved collaboration scenarios. This allows organizations to enforce consistent security controls while preserving flexibility where business workflows require it.</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pBdr>
          <w:bottom w:color="auto" w:space="0" w:sz="0" w:val="none"/>
        </w:pBdr>
        <w:spacing w:after="80" w:before="360" w:lineRule="auto"/>
        <w:rPr/>
      </w:pPr>
      <w:bookmarkStart w:colFirst="0" w:colLast="0" w:name="_q9t65cqrl55u" w:id="6"/>
      <w:bookmarkEnd w:id="6"/>
      <w:r w:rsidDel="00000000" w:rsidR="00000000" w:rsidRPr="00000000">
        <w:rPr>
          <w:rtl w:val="0"/>
        </w:rPr>
        <w:t xml:space="preserve">Microsoft Purview Sensitivity Label Integration</w:t>
      </w:r>
    </w:p>
    <w:p w:rsidR="00000000" w:rsidDel="00000000" w:rsidP="00000000" w:rsidRDefault="00000000" w:rsidRPr="00000000" w14:paraId="00000027">
      <w:pPr>
        <w:spacing w:after="240" w:before="240" w:lineRule="auto"/>
        <w:rPr/>
      </w:pPr>
      <w:r w:rsidDel="00000000" w:rsidR="00000000" w:rsidRPr="00000000">
        <w:rPr>
          <w:rtl w:val="0"/>
        </w:rPr>
        <w:t xml:space="preserve">This release introduces native integration with Microsoft Purview Sensitivity Labels, enabling Platform Governance Rules to automatically enforce protection based on data classification.</w:t>
      </w:r>
    </w:p>
    <w:p w:rsidR="00000000" w:rsidDel="00000000" w:rsidP="00000000" w:rsidRDefault="00000000" w:rsidRPr="00000000" w14:paraId="00000028">
      <w:pPr>
        <w:spacing w:after="240" w:before="240" w:lineRule="auto"/>
        <w:rPr/>
      </w:pPr>
      <w:r w:rsidDel="00000000" w:rsidR="00000000" w:rsidRPr="00000000">
        <w:rPr>
          <w:rtl w:val="0"/>
        </w:rPr>
        <w:t xml:space="preserve">This extends Microsoft’s native data governance beyond the tenant boundary by allowing Sensitivity Labels to directly drive access decisions at the moment of sharing. Rather than serving only as indicators or triggers for alerts, labels can now be actioned automatically—ensuring sensitive data is governed appropriately wherever it is shared.</w:t>
      </w:r>
    </w:p>
    <w:p w:rsidR="00000000" w:rsidDel="00000000" w:rsidP="00000000" w:rsidRDefault="00000000" w:rsidRPr="00000000" w14:paraId="00000029">
      <w:pPr>
        <w:spacing w:after="240" w:before="240" w:lineRule="auto"/>
        <w:rPr/>
      </w:pPr>
      <w:r w:rsidDel="00000000" w:rsidR="00000000" w:rsidRPr="00000000">
        <w:rPr>
          <w:rtl w:val="0"/>
        </w:rPr>
        <w:t xml:space="preserve">Traditional DLP systems operate on a binary model: content is either blocked entirely or allowed to leave the organization without persistent control. Platform Governance Rules introduce a third model—evaluating the full context of the share, including data sensitivity, sender identity, and recipient identity, and automatically applying appropriate protection policies.</w:t>
      </w:r>
    </w:p>
    <w:p w:rsidR="00000000" w:rsidDel="00000000" w:rsidP="00000000" w:rsidRDefault="00000000" w:rsidRPr="00000000" w14:paraId="0000002A">
      <w:pPr>
        <w:spacing w:after="240" w:before="240" w:lineRule="auto"/>
        <w:rPr/>
      </w:pPr>
      <w:r w:rsidDel="00000000" w:rsidR="00000000" w:rsidRPr="00000000">
        <w:rPr>
          <w:rtl w:val="0"/>
        </w:rPr>
        <w:t xml:space="preserve">This allows organizations to:</w:t>
      </w:r>
    </w:p>
    <w:p w:rsidR="00000000" w:rsidDel="00000000" w:rsidP="00000000" w:rsidRDefault="00000000" w:rsidRPr="00000000" w14:paraId="0000002B">
      <w:pPr>
        <w:numPr>
          <w:ilvl w:val="0"/>
          <w:numId w:val="3"/>
        </w:numPr>
        <w:spacing w:after="0" w:afterAutospacing="0" w:before="240" w:lineRule="auto"/>
        <w:ind w:left="720" w:hanging="360"/>
      </w:pPr>
      <w:r w:rsidDel="00000000" w:rsidR="00000000" w:rsidRPr="00000000">
        <w:rPr>
          <w:rtl w:val="0"/>
        </w:rPr>
        <w:t xml:space="preserve">Enforce classification-based controls without blocking legitimate business workflows</w:t>
        <w:br w:type="textWrapping"/>
      </w:r>
    </w:p>
    <w:p w:rsidR="00000000" w:rsidDel="00000000" w:rsidP="00000000" w:rsidRDefault="00000000" w:rsidRPr="00000000" w14:paraId="0000002C">
      <w:pPr>
        <w:numPr>
          <w:ilvl w:val="0"/>
          <w:numId w:val="3"/>
        </w:numPr>
        <w:spacing w:after="0" w:afterAutospacing="0" w:before="0" w:beforeAutospacing="0" w:lineRule="auto"/>
        <w:ind w:left="720" w:hanging="360"/>
      </w:pPr>
      <w:r w:rsidDel="00000000" w:rsidR="00000000" w:rsidRPr="00000000">
        <w:rPr>
          <w:rtl w:val="0"/>
        </w:rPr>
        <w:t xml:space="preserve">Extend Microsoft Purview governance beyond the tenant into external collaboration</w:t>
        <w:br w:type="textWrapping"/>
      </w:r>
    </w:p>
    <w:p w:rsidR="00000000" w:rsidDel="00000000" w:rsidP="00000000" w:rsidRDefault="00000000" w:rsidRPr="00000000" w14:paraId="0000002D">
      <w:pPr>
        <w:numPr>
          <w:ilvl w:val="0"/>
          <w:numId w:val="3"/>
        </w:numPr>
        <w:spacing w:after="0" w:afterAutospacing="0" w:before="0" w:beforeAutospacing="0" w:lineRule="auto"/>
        <w:ind w:left="720" w:hanging="360"/>
      </w:pPr>
      <w:r w:rsidDel="00000000" w:rsidR="00000000" w:rsidRPr="00000000">
        <w:rPr>
          <w:rtl w:val="0"/>
        </w:rPr>
        <w:t xml:space="preserve">Reduce reliance on manual enforcement and DLP alert investigation</w:t>
        <w:br w:type="textWrapping"/>
      </w:r>
    </w:p>
    <w:p w:rsidR="00000000" w:rsidDel="00000000" w:rsidP="00000000" w:rsidRDefault="00000000" w:rsidRPr="00000000" w14:paraId="0000002E">
      <w:pPr>
        <w:numPr>
          <w:ilvl w:val="0"/>
          <w:numId w:val="3"/>
        </w:numPr>
        <w:spacing w:after="240" w:before="0" w:beforeAutospacing="0" w:lineRule="auto"/>
        <w:ind w:left="720" w:hanging="360"/>
      </w:pPr>
      <w:r w:rsidDel="00000000" w:rsidR="00000000" w:rsidRPr="00000000">
        <w:rPr>
          <w:rtl w:val="0"/>
        </w:rPr>
        <w:t xml:space="preserve">Apply persistent protection aligned with existing classification policies</w:t>
        <w:br w:type="textWrapping"/>
      </w:r>
    </w:p>
    <w:p w:rsidR="00000000" w:rsidDel="00000000" w:rsidP="00000000" w:rsidRDefault="00000000" w:rsidRPr="00000000" w14:paraId="0000002F">
      <w:pPr>
        <w:spacing w:after="240" w:before="240" w:lineRule="auto"/>
        <w:rPr/>
      </w:pPr>
      <w:r w:rsidDel="00000000" w:rsidR="00000000" w:rsidRPr="00000000">
        <w:rPr>
          <w:rtl w:val="0"/>
        </w:rPr>
        <w:t xml:space="preserve">Platform Governance Rules operate independently of Microsoft Purview and can enforce governance based on share context alone. When Sensitivity Labels are present, they provide an additional governance signal that enables more precise, classification-driven enforcement.</w:t>
      </w:r>
    </w:p>
    <w:p w:rsidR="00000000" w:rsidDel="00000000" w:rsidP="00000000" w:rsidRDefault="00000000" w:rsidRPr="00000000" w14:paraId="00000030">
      <w:pPr>
        <w:spacing w:after="240" w:before="240" w:lineRule="auto"/>
        <w:rPr/>
      </w:pPr>
      <w:r w:rsidDel="00000000" w:rsidR="00000000" w:rsidRPr="00000000">
        <w:rPr>
          <w:rtl w:val="0"/>
        </w:rPr>
        <w:t xml:space="preserve">The Microsoft Purview Sensitivity Label integration is released in tandem with Platform Governance Rules. Detailed integration and configuration guidance will be provided separately.</w:t>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2"/>
        <w:rPr/>
      </w:pPr>
      <w:bookmarkStart w:colFirst="0" w:colLast="0" w:name="_ew8nscwdjfor" w:id="7"/>
      <w:bookmarkEnd w:id="7"/>
      <w:r w:rsidDel="00000000" w:rsidR="00000000" w:rsidRPr="00000000">
        <w:rPr>
          <w:rtl w:val="0"/>
        </w:rPr>
        <w:t xml:space="preserve">Aligning Governance Rules to Organization Policy &amp; Purview Classification</w:t>
      </w:r>
    </w:p>
    <w:p w:rsidR="00000000" w:rsidDel="00000000" w:rsidP="00000000" w:rsidRDefault="00000000" w:rsidRPr="00000000" w14:paraId="00000034">
      <w:pPr>
        <w:spacing w:after="240" w:before="240" w:lineRule="auto"/>
        <w:rPr/>
      </w:pPr>
      <w:r w:rsidDel="00000000" w:rsidR="00000000" w:rsidRPr="00000000">
        <w:rPr>
          <w:rtl w:val="0"/>
        </w:rPr>
        <w:t xml:space="preserve">Platform Governance Rules are managed through the SpecterX platform, allowing administrators to define how sharing is governed across the organization. The flexibility of configuration allows for broad rules to be applied across an organization, while also allowing for granular configuration to capture even the most nuanced cases. </w:t>
      </w:r>
    </w:p>
    <w:p w:rsidR="00000000" w:rsidDel="00000000" w:rsidP="00000000" w:rsidRDefault="00000000" w:rsidRPr="00000000" w14:paraId="00000035">
      <w:pPr>
        <w:spacing w:after="240" w:before="240" w:lineRule="auto"/>
        <w:rPr/>
      </w:pPr>
      <w:r w:rsidDel="00000000" w:rsidR="00000000" w:rsidRPr="00000000">
        <w:rPr>
          <w:rtl w:val="0"/>
        </w:rPr>
        <w:t xml:space="preserve">The following rules show examples of the practical ways in which governance can be centrally managed through SpecterX:</w:t>
      </w:r>
    </w:p>
    <w:p w:rsidR="00000000" w:rsidDel="00000000" w:rsidP="00000000" w:rsidRDefault="00000000" w:rsidRPr="00000000" w14:paraId="000000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rPr/>
      </w:pPr>
      <w:bookmarkStart w:colFirst="0" w:colLast="0" w:name="_uo19a28qswnf" w:id="8"/>
      <w:bookmarkEnd w:id="8"/>
      <w:r w:rsidDel="00000000" w:rsidR="00000000" w:rsidRPr="00000000">
        <w:rPr>
          <w:rtl w:val="0"/>
        </w:rPr>
        <w:t xml:space="preserve">Align Policy Assignment per Group Membership </w:t>
      </w:r>
    </w:p>
    <w:p w:rsidR="00000000" w:rsidDel="00000000" w:rsidP="00000000" w:rsidRDefault="00000000" w:rsidRPr="00000000" w14:paraId="00000038">
      <w:pPr>
        <w:spacing w:after="240" w:before="240" w:lineRule="auto"/>
        <w:rPr/>
      </w:pPr>
      <w:r w:rsidDel="00000000" w:rsidR="00000000" w:rsidRPr="00000000">
        <w:rPr>
          <w:rtl w:val="0"/>
        </w:rPr>
        <w:t xml:space="preserve">Different branches of an organization require different leverages of governance controls based on the business need and data sensitively they work with. </w:t>
      </w:r>
    </w:p>
    <w:p w:rsidR="00000000" w:rsidDel="00000000" w:rsidP="00000000" w:rsidRDefault="00000000" w:rsidRPr="00000000" w14:paraId="00000039">
      <w:pPr>
        <w:spacing w:after="240" w:before="240" w:lineRule="auto"/>
        <w:rPr/>
      </w:pPr>
      <w:r w:rsidDel="00000000" w:rsidR="00000000" w:rsidRPr="00000000">
        <w:rPr>
          <w:rtl w:val="0"/>
        </w:rPr>
        <w:t xml:space="preserve">Policy Assignment Rules allow organizations to assign varied policies for group membership, supporting use cases where strict control is needed for strict compliance requirements or to prevent internal leakage. </w:t>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03B">
      <w:pPr>
        <w:spacing w:after="240" w:before="240" w:lineRule="auto"/>
        <w:rPr/>
      </w:pPr>
      <w:r w:rsidDel="00000000" w:rsidR="00000000" w:rsidRPr="00000000">
        <w:rPr>
          <w:rtl w:val="0"/>
        </w:rPr>
        <w:t xml:space="preserve">A rule may be configured to assign watermark policy with persistent tracking for all documents shared externally by the finance team. </w:t>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Configuration of this policy will support visibility and external governance of assets shared externally:</w:t>
      </w:r>
    </w:p>
    <w:p w:rsidR="00000000" w:rsidDel="00000000" w:rsidP="00000000" w:rsidRDefault="00000000" w:rsidRPr="00000000" w14:paraId="0000003D">
      <w:pPr>
        <w:numPr>
          <w:ilvl w:val="0"/>
          <w:numId w:val="5"/>
        </w:numPr>
        <w:spacing w:after="0" w:afterAutospacing="0" w:before="240" w:lineRule="auto"/>
        <w:ind w:left="720" w:hanging="360"/>
        <w:rPr/>
      </w:pPr>
      <w:r w:rsidDel="00000000" w:rsidR="00000000" w:rsidRPr="00000000">
        <w:rPr>
          <w:b w:val="1"/>
          <w:bCs w:val="1"/>
          <w:rtl w:val="0"/>
        </w:rPr>
        <w:t xml:space="preserve">Watermarking </w:t>
      </w:r>
      <w:r w:rsidDel="00000000" w:rsidR="00000000" w:rsidRPr="00000000">
        <w:rPr>
          <w:rtl w:val="0"/>
        </w:rPr>
        <w:t xml:space="preserve">will be applied to the file to explicitly mark the file as an organizational asset and publish the name of intended recipient to deter unauthorized distribution </w:t>
      </w:r>
    </w:p>
    <w:p w:rsidR="00000000" w:rsidDel="00000000" w:rsidP="00000000" w:rsidRDefault="00000000" w:rsidRPr="00000000" w14:paraId="0000003E">
      <w:pPr>
        <w:numPr>
          <w:ilvl w:val="0"/>
          <w:numId w:val="5"/>
        </w:numPr>
        <w:spacing w:after="0" w:afterAutospacing="0" w:before="0" w:beforeAutospacing="0" w:lineRule="auto"/>
        <w:ind w:left="720" w:hanging="360"/>
        <w:rPr/>
      </w:pPr>
      <w:r w:rsidDel="00000000" w:rsidR="00000000" w:rsidRPr="00000000">
        <w:rPr>
          <w:b w:val="1"/>
          <w:bCs w:val="1"/>
          <w:rtl w:val="0"/>
        </w:rPr>
        <w:t xml:space="preserve">Encryption </w:t>
      </w:r>
      <w:r w:rsidDel="00000000" w:rsidR="00000000" w:rsidRPr="00000000">
        <w:rPr>
          <w:rtl w:val="0"/>
        </w:rPr>
        <w:t xml:space="preserve">will be added to the file to maintain control of the file even after the file is downloaded</w:t>
      </w:r>
    </w:p>
    <w:p w:rsidR="00000000" w:rsidDel="00000000" w:rsidP="00000000" w:rsidRDefault="00000000" w:rsidRPr="00000000" w14:paraId="0000003F">
      <w:pPr>
        <w:numPr>
          <w:ilvl w:val="0"/>
          <w:numId w:val="5"/>
        </w:numPr>
        <w:spacing w:after="240" w:before="0" w:beforeAutospacing="0" w:lineRule="auto"/>
        <w:ind w:left="720" w:hanging="360"/>
        <w:rPr/>
      </w:pPr>
      <w:r w:rsidDel="00000000" w:rsidR="00000000" w:rsidRPr="00000000">
        <w:rPr>
          <w:b w:val="1"/>
          <w:bCs w:val="1"/>
          <w:rtl w:val="0"/>
        </w:rPr>
        <w:t xml:space="preserve">Retention</w:t>
      </w:r>
      <w:r w:rsidDel="00000000" w:rsidR="00000000" w:rsidRPr="00000000">
        <w:rPr>
          <w:rtl w:val="0"/>
        </w:rPr>
        <w:t xml:space="preserve"> will be configured to automatically revoke access 14 days after it is provisioned</w:t>
      </w: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Result:</w:t>
        <w:br w:type="textWrapping"/>
      </w:r>
      <w:r w:rsidDel="00000000" w:rsidR="00000000" w:rsidRPr="00000000">
        <w:rPr>
          <w:rtl w:val="0"/>
        </w:rPr>
        <w:t xml:space="preserve">Documents from Finance teams shared externally are never released without full control, allowing records to be shared externally as needed, but trust in users' judgement in policy selection and risk evaluation is never assumed. </w:t>
      </w: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rPr/>
      </w:pPr>
      <w:bookmarkStart w:colFirst="0" w:colLast="0" w:name="_3bbntmxwdbx" w:id="9"/>
      <w:bookmarkEnd w:id="9"/>
      <w:r w:rsidDel="00000000" w:rsidR="00000000" w:rsidRPr="00000000">
        <w:rPr>
          <w:rtl w:val="0"/>
        </w:rPr>
        <w:t xml:space="preserve">Assess Purview Sensitively to Drive Policy Assignment &amp; Block Actions</w:t>
      </w:r>
    </w:p>
    <w:p w:rsidR="00000000" w:rsidDel="00000000" w:rsidP="00000000" w:rsidRDefault="00000000" w:rsidRPr="00000000" w14:paraId="00000043">
      <w:pPr>
        <w:rPr/>
      </w:pPr>
      <w:r w:rsidDel="00000000" w:rsidR="00000000" w:rsidRPr="00000000">
        <w:rPr>
          <w:rtl w:val="0"/>
        </w:rPr>
        <w:t xml:space="preserve">Organizations that have invested in Microsoft Purview to classify and label their data, can leverage this investment to inform policy assignment.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b w:val="1"/>
          <w:bCs w:val="1"/>
          <w:rtl w:val="0"/>
        </w:rPr>
        <w:t xml:space="preserve">Example: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An organization may need to expose highly sensitive data externally, for such instances as M&amp;A transactions or communication without outside ownership such board members. By inspecting the sensitivity label by Purview, SpecterX can automate policy assignment per the specific sensitivity of each individual file.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A rule may be configured to allow sharing of sensitive labeled files to specific recipients under strict policy assignment.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Configuration of rule could be configured to Identify a file label as Internal and the recipient as an investment partner and allow the file to be shared externally, but under the persistent control: </w:t>
      </w:r>
    </w:p>
    <w:p w:rsidR="00000000" w:rsidDel="00000000" w:rsidP="00000000" w:rsidRDefault="00000000" w:rsidRPr="00000000" w14:paraId="0000004C">
      <w:pPr>
        <w:numPr>
          <w:ilvl w:val="0"/>
          <w:numId w:val="1"/>
        </w:numPr>
        <w:ind w:left="720" w:hanging="360"/>
        <w:rPr/>
      </w:pPr>
      <w:r w:rsidDel="00000000" w:rsidR="00000000" w:rsidRPr="00000000">
        <w:rPr>
          <w:b w:val="1"/>
          <w:bCs w:val="1"/>
          <w:rtl w:val="0"/>
        </w:rPr>
        <w:t xml:space="preserve">Internal Labels</w:t>
      </w:r>
      <w:r w:rsidDel="00000000" w:rsidR="00000000" w:rsidRPr="00000000">
        <w:rPr>
          <w:rtl w:val="0"/>
        </w:rPr>
        <w:t xml:space="preserve"> for </w:t>
      </w:r>
      <w:r w:rsidDel="00000000" w:rsidR="00000000" w:rsidRPr="00000000">
        <w:rPr>
          <w:b w:val="1"/>
          <w:bCs w:val="1"/>
          <w:rtl w:val="0"/>
        </w:rPr>
        <w:t xml:space="preserve">investment partners </w:t>
      </w:r>
      <w:r w:rsidDel="00000000" w:rsidR="00000000" w:rsidRPr="00000000">
        <w:rPr>
          <w:rtl w:val="0"/>
        </w:rPr>
        <w:t xml:space="preserve">may allow the share to proceed, but with policy protection to encrypt the file and automate access to expire in 90 days, allowing temporary access without risk. </w:t>
      </w:r>
    </w:p>
    <w:p w:rsidR="00000000" w:rsidDel="00000000" w:rsidP="00000000" w:rsidRDefault="00000000" w:rsidRPr="00000000" w14:paraId="0000004D">
      <w:pPr>
        <w:numPr>
          <w:ilvl w:val="0"/>
          <w:numId w:val="1"/>
        </w:numPr>
        <w:ind w:left="720" w:hanging="360"/>
        <w:rPr>
          <w:u w:val="none"/>
        </w:rPr>
      </w:pPr>
      <w:r w:rsidDel="00000000" w:rsidR="00000000" w:rsidRPr="00000000">
        <w:rPr>
          <w:rtl w:val="0"/>
        </w:rPr>
        <w:t xml:space="preserve">If </w:t>
      </w:r>
      <w:r w:rsidDel="00000000" w:rsidR="00000000" w:rsidRPr="00000000">
        <w:rPr>
          <w:b w:val="1"/>
          <w:bCs w:val="1"/>
          <w:rtl w:val="0"/>
        </w:rPr>
        <w:t xml:space="preserve">Internal Labeled </w:t>
      </w:r>
      <w:r w:rsidDel="00000000" w:rsidR="00000000" w:rsidRPr="00000000">
        <w:rPr>
          <w:rtl w:val="0"/>
        </w:rPr>
        <w:t xml:space="preserve">files are attempted to an </w:t>
      </w:r>
      <w:r w:rsidDel="00000000" w:rsidR="00000000" w:rsidRPr="00000000">
        <w:rPr>
          <w:b w:val="1"/>
          <w:bCs w:val="1"/>
          <w:rtl w:val="0"/>
        </w:rPr>
        <w:t xml:space="preserve">untrusted recipient</w:t>
      </w:r>
      <w:r w:rsidDel="00000000" w:rsidR="00000000" w:rsidRPr="00000000">
        <w:rPr>
          <w:rtl w:val="0"/>
        </w:rPr>
        <w:t xml:space="preserve"> or public domain, the rule can be configured to block this share. </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b w:val="1"/>
          <w:bCs w:val="1"/>
        </w:rPr>
      </w:pPr>
      <w:r w:rsidDel="00000000" w:rsidR="00000000" w:rsidRPr="00000000">
        <w:rPr>
          <w:b w:val="1"/>
          <w:bCs w:val="1"/>
          <w:rtl w:val="0"/>
        </w:rPr>
        <w:t xml:space="preserve">Result:</w:t>
      </w:r>
    </w:p>
    <w:p w:rsidR="00000000" w:rsidDel="00000000" w:rsidP="00000000" w:rsidRDefault="00000000" w:rsidRPr="00000000" w14:paraId="00000050">
      <w:pPr>
        <w:rPr>
          <w:rFonts w:ascii="Roboto" w:cs="Roboto" w:eastAsia="Roboto" w:hAnsi="Roboto"/>
          <w:color w:val="2d2d2d"/>
          <w:sz w:val="26"/>
          <w:szCs w:val="26"/>
        </w:rPr>
      </w:pPr>
      <w:r w:rsidDel="00000000" w:rsidR="00000000" w:rsidRPr="00000000">
        <w:rPr>
          <w:rtl w:val="0"/>
        </w:rPr>
        <w:t xml:space="preserve">Governance decisions are directly aligned to business needs, allowing SpecterX to break the industry standard of “block vs allow” and introduce contextual aware decision making. Data that must be shared for business needs is permitted with automated control, whereas sensitive assets are blocked when the context of the share presents risk.</w:t>
      </w: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3"/>
        <w:rPr/>
      </w:pPr>
      <w:bookmarkStart w:colFirst="0" w:colLast="0" w:name="_vt4acdjaug6x" w:id="10"/>
      <w:bookmarkEnd w:id="10"/>
      <w:r w:rsidDel="00000000" w:rsidR="00000000" w:rsidRPr="00000000">
        <w:rPr>
          <w:rtl w:val="0"/>
        </w:rPr>
        <w:t xml:space="preserve">Allowing Exceptions to Support Nuance to Broad Rules</w:t>
      </w:r>
    </w:p>
    <w:p w:rsidR="00000000" w:rsidDel="00000000" w:rsidP="00000000" w:rsidRDefault="00000000" w:rsidRPr="00000000" w14:paraId="00000053">
      <w:pPr>
        <w:spacing w:after="240" w:before="240" w:lineRule="auto"/>
        <w:rPr/>
      </w:pPr>
      <w:r w:rsidDel="00000000" w:rsidR="00000000" w:rsidRPr="00000000">
        <w:rPr>
          <w:rtl w:val="0"/>
        </w:rPr>
        <w:t xml:space="preserve">Platform Governance Rules allow organizations to apply broad policy to entire domains, while allowing exceptions for specific use cases or users that need flexibility of choice. </w:t>
      </w:r>
    </w:p>
    <w:p w:rsidR="00000000" w:rsidDel="00000000" w:rsidP="00000000" w:rsidRDefault="00000000" w:rsidRPr="00000000" w14:paraId="00000054">
      <w:pPr>
        <w:spacing w:after="240" w:before="240" w:lineRule="auto"/>
        <w:rPr>
          <w:b w:val="1"/>
          <w:bCs w:val="1"/>
        </w:rPr>
      </w:pPr>
      <w:r w:rsidDel="00000000" w:rsidR="00000000" w:rsidRPr="00000000">
        <w:rPr>
          <w:b w:val="1"/>
          <w:bCs w:val="1"/>
          <w:rtl w:val="0"/>
        </w:rPr>
        <w:t xml:space="preserve">Example: </w:t>
      </w:r>
    </w:p>
    <w:p w:rsidR="00000000" w:rsidDel="00000000" w:rsidP="00000000" w:rsidRDefault="00000000" w:rsidRPr="00000000" w14:paraId="00000055">
      <w:pPr>
        <w:spacing w:after="240" w:before="240" w:lineRule="auto"/>
        <w:rPr/>
      </w:pPr>
      <w:r w:rsidDel="00000000" w:rsidR="00000000" w:rsidRPr="00000000">
        <w:rPr>
          <w:rtl w:val="0"/>
        </w:rPr>
        <w:t xml:space="preserve">Configuration of Exception Rules may be used by an organization to block all files shared from their organization to public domains, but may allow exceptions for users that require flexibility, such as allowing C-suite executives with earned trust to send at their own discretion and apply policy via the sender choice based on situation need</w:t>
      </w:r>
    </w:p>
    <w:p w:rsidR="00000000" w:rsidDel="00000000" w:rsidP="00000000" w:rsidRDefault="00000000" w:rsidRPr="00000000" w14:paraId="00000056">
      <w:pPr>
        <w:spacing w:after="240" w:before="240" w:lineRule="auto"/>
        <w:rPr>
          <w:b w:val="1"/>
          <w:bCs w:val="1"/>
        </w:rPr>
      </w:pPr>
      <w:r w:rsidDel="00000000" w:rsidR="00000000" w:rsidRPr="00000000">
        <w:rPr>
          <w:b w:val="1"/>
          <w:bCs w:val="1"/>
          <w:rtl w:val="0"/>
        </w:rPr>
        <w:t xml:space="preserve">Result: </w:t>
      </w:r>
    </w:p>
    <w:p w:rsidR="00000000" w:rsidDel="00000000" w:rsidP="00000000" w:rsidRDefault="00000000" w:rsidRPr="00000000" w14:paraId="00000057">
      <w:pPr>
        <w:spacing w:after="240" w:before="240" w:lineRule="auto"/>
        <w:rPr/>
      </w:pPr>
      <w:r w:rsidDel="00000000" w:rsidR="00000000" w:rsidRPr="00000000">
        <w:rPr>
          <w:rtl w:val="0"/>
        </w:rPr>
        <w:t xml:space="preserve">Broad policies can be rolled out across an organization with exceptions in place to prevent blockages in workflows. Exceptions can be broad when risk is low or granularly configured for specific circumstances. </w:t>
      </w:r>
    </w:p>
    <w:p w:rsidR="00000000" w:rsidDel="00000000" w:rsidP="00000000" w:rsidRDefault="00000000" w:rsidRPr="00000000" w14:paraId="00000058">
      <w:pPr>
        <w:spacing w:after="240" w:before="240" w:lineRule="auto"/>
        <w:rPr/>
      </w:pPr>
      <w:r w:rsidDel="00000000" w:rsidR="00000000" w:rsidRPr="00000000">
        <w:rPr>
          <w:rtl w:val="0"/>
        </w:rPr>
      </w:r>
    </w:p>
    <w:p w:rsidR="00000000" w:rsidDel="00000000" w:rsidP="00000000" w:rsidRDefault="00000000" w:rsidRPr="00000000" w14:paraId="00000059">
      <w:pPr>
        <w:spacing w:after="240" w:before="240" w:lineRule="auto"/>
        <w:rPr/>
      </w:pP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rtl w:val="0"/>
        </w:rPr>
        <w:t xml:space="preserve"> </w:t>
      </w:r>
    </w:p>
    <w:p w:rsidR="00000000" w:rsidDel="00000000" w:rsidP="00000000" w:rsidRDefault="00000000" w:rsidRPr="00000000" w14:paraId="0000005C">
      <w:pPr>
        <w:spacing w:after="240" w:before="240" w:lineRule="auto"/>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sectPr>
      <w:headerReference r:id="rId6" w:type="default"/>
      <w:footerReference r:id="rId7" w:type="default"/>
      <w:pgSz w:h="15840" w:w="12240" w:orient="portrait"/>
      <w:pgMar w:bottom="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tabs>
        <w:tab w:val="center" w:leader="none" w:pos="4680"/>
        <w:tab w:val="right" w:leader="none" w:pos="9360"/>
      </w:tabs>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-904874</wp:posOffset>
          </wp:positionH>
          <wp:positionV relativeFrom="paragraph">
            <wp:posOffset>190500</wp:posOffset>
          </wp:positionV>
          <wp:extent cx="7770495" cy="448310"/>
          <wp:effectExtent b="0" l="0" r="0" t="0"/>
          <wp:wrapSquare wrapText="bothSides" distB="0" distT="0" distL="0" distR="0"/>
          <wp:docPr descr="footer graphic" id="4" name="image1.png"/>
          <a:graphic>
            <a:graphicData uri="http://schemas.openxmlformats.org/drawingml/2006/picture">
              <pic:pic>
                <pic:nvPicPr>
                  <pic:cNvPr descr="footer graphic" id="0" name="image1.png"/>
                  <pic:cNvPicPr preferRelativeResize="0"/>
                </pic:nvPicPr>
                <pic:blipFill>
                  <a:blip r:embed="rId1"/>
                  <a:srcRect b="4464" l="0" r="0" t="-4464"/>
                  <a:stretch>
                    <a:fillRect/>
                  </a:stretch>
                </pic:blipFill>
                <pic:spPr>
                  <a:xfrm>
                    <a:off x="0" y="0"/>
                    <a:ext cx="7770495" cy="448310"/>
                  </a:xfrm>
                  <a:prstGeom prst="rect"/>
                  <a:ln/>
                </pic:spPr>
              </pic:pic>
            </a:graphicData>
          </a:graphic>
        </wp:anchor>
      </w:drawing>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-914399</wp:posOffset>
              </wp:positionH>
              <wp:positionV relativeFrom="paragraph">
                <wp:posOffset>200025</wp:posOffset>
              </wp:positionV>
              <wp:extent cx="1198685" cy="376808"/>
              <wp:effectExtent b="0" l="0" r="0" t="0"/>
              <wp:wrapNone/>
              <wp:docPr id="1" name=""/>
              <a:graphic>
                <a:graphicData uri="http://schemas.microsoft.com/office/word/2010/wordprocessingShape">
                  <wps:wsp>
                    <wps:cNvSpPr/>
                    <wps:cNvPr id="2" name="Shape 2"/>
                    <wps:spPr>
                      <a:xfrm>
                        <a:off x="4751420" y="3596359"/>
                        <a:ext cx="1189160" cy="36728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ucida Sans" w:cs="Lucida Sans" w:eastAsia="Lucida Sans" w:hAnsi="Lucida Sans"/>
                              <w:b w:val="0"/>
                              <w:i w:val="0"/>
                              <w:smallCaps w:val="0"/>
                              <w:strike w:val="0"/>
                              <w:color w:val="000000"/>
                              <w:sz w:val="20"/>
                              <w:vertAlign w:val="baseline"/>
                            </w:rPr>
                            <w:t xml:space="preserve">   SpecterX©</w:t>
                          </w:r>
                        </w:p>
                      </w:txbxContent>
                    </wps:txbx>
                    <wps:bodyPr anchorCtr="0" anchor="t"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-914399</wp:posOffset>
              </wp:positionH>
              <wp:positionV relativeFrom="paragraph">
                <wp:posOffset>200025</wp:posOffset>
              </wp:positionV>
              <wp:extent cx="1198685" cy="376808"/>
              <wp:effectExtent b="0" l="0" r="0" t="0"/>
              <wp:wrapNone/>
              <wp:docPr id="1"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1198685" cy="376808"/>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3543300</wp:posOffset>
              </wp:positionH>
              <wp:positionV relativeFrom="paragraph">
                <wp:posOffset>-292099</wp:posOffset>
              </wp:positionV>
              <wp:extent cx="2447925" cy="376604"/>
              <wp:effectExtent b="0" l="0" r="0" t="0"/>
              <wp:wrapTopAndBottom distB="114300" distT="114300"/>
              <wp:docPr id="2" name=""/>
              <a:graphic>
                <a:graphicData uri="http://schemas.microsoft.com/office/word/2010/wordprocessingShape">
                  <wps:wsp>
                    <wps:cNvSpPr/>
                    <wps:cNvPr id="3" name="Shape 3"/>
                    <wps:spPr>
                      <a:xfrm>
                        <a:off x="3624150" y="3524250"/>
                        <a:ext cx="3443700" cy="511500"/>
                      </a:xfrm>
                      <a:prstGeom prst="rect">
                        <a:avLst/>
                      </a:prstGeom>
                      <a:noFill/>
                      <a:ln>
                        <a:noFill/>
                      </a:ln>
                    </wps:spPr>
                    <wps:txbx>
                      <w:txbxContent>
                        <w:p w:rsidR="00000000" w:rsidDel="00000000" w:rsidP="00000000" w:rsidRDefault="00000000" w:rsidRPr="00000000">
                          <w:pPr>
                            <w:spacing w:after="0" w:before="0" w:line="334.9999237060547"/>
                            <w:ind w:left="-15" w:right="0" w:firstLine="-60"/>
                            <w:jc w:val="right"/>
                            <w:textDirection w:val="btLr"/>
                          </w:pPr>
                          <w:r w:rsidDel="00000000" w:rsidR="00000000" w:rsidRPr="00000000">
                            <w:rPr>
                              <w:rFonts w:ascii="Roboto" w:cs="Roboto" w:eastAsia="Roboto" w:hAnsi="Roboto"/>
                              <w:b w:val="0"/>
                              <w:i w:val="0"/>
                              <w:smallCaps w:val="0"/>
                              <w:strike w:val="0"/>
                              <w:color w:val="cccccc"/>
                              <w:sz w:val="26"/>
                              <w:vertAlign w:val="baseline"/>
                            </w:rPr>
                            <w:t xml:space="preserve">Platform Governance Rules</w:t>
                          </w: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3543300</wp:posOffset>
              </wp:positionH>
              <wp:positionV relativeFrom="paragraph">
                <wp:posOffset>-292099</wp:posOffset>
              </wp:positionV>
              <wp:extent cx="2447925" cy="376604"/>
              <wp:effectExtent b="0" l="0" r="0" t="0"/>
              <wp:wrapTopAndBottom distB="114300" distT="114300"/>
              <wp:docPr id="2"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2447925" cy="376604"/>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5991225</wp:posOffset>
          </wp:positionH>
          <wp:positionV relativeFrom="paragraph">
            <wp:posOffset>-457197</wp:posOffset>
          </wp:positionV>
          <wp:extent cx="871538" cy="871538"/>
          <wp:effectExtent b="0" l="0" r="0" t="0"/>
          <wp:wrapTopAndBottom distB="0" distT="0"/>
          <wp:docPr descr="corner graphic" id="3" name="image2.png"/>
          <a:graphic>
            <a:graphicData uri="http://schemas.openxmlformats.org/drawingml/2006/picture">
              <pic:pic>
                <pic:nvPicPr>
                  <pic:cNvPr descr="corner graphic" id="0" name="image2.png"/>
                  <pic:cNvPicPr preferRelativeResize="0"/>
                </pic:nvPicPr>
                <pic:blipFill>
                  <a:blip r:embed="rId2"/>
                  <a:srcRect b="0" l="0" r="0" t="0"/>
                  <a:stretch>
                    <a:fillRect/>
                  </a:stretch>
                </pic:blipFill>
                <pic:spPr>
                  <a:xfrm>
                    <a:off x="0" y="0"/>
                    <a:ext cx="871538" cy="87153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-742948</wp:posOffset>
          </wp:positionH>
          <wp:positionV relativeFrom="paragraph">
            <wp:posOffset>-314322</wp:posOffset>
          </wp:positionV>
          <wp:extent cx="1610226" cy="419100"/>
          <wp:effectExtent b="0" l="0" r="0" t="0"/>
          <wp:wrapTopAndBottom distB="114300" distT="114300"/>
          <wp:docPr id="5" name="image3.png"/>
          <a:graphic>
            <a:graphicData uri="http://schemas.openxmlformats.org/drawingml/2006/picture">
              <pic:pic>
                <pic:nvPicPr>
                  <pic:cNvPr id="0" name="image3.png"/>
                  <pic:cNvPicPr preferRelativeResize="0"/>
                </pic:nvPicPr>
                <pic:blipFill>
                  <a:blip r:embed="rId3"/>
                  <a:srcRect b="0" l="0" r="0" t="0"/>
                  <a:stretch>
                    <a:fillRect/>
                  </a:stretch>
                </pic:blipFill>
                <pic:spPr>
                  <a:xfrm>
                    <a:off x="0" y="0"/>
                    <a:ext cx="1610226" cy="4191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2d2d2d"/>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480" w:line="360" w:lineRule="auto"/>
    </w:pPr>
    <w:rPr>
      <w:color w:val="666666"/>
      <w:sz w:val="42"/>
      <w:szCs w:val="42"/>
    </w:rPr>
  </w:style>
  <w:style w:type="paragraph" w:styleId="Heading2">
    <w:name w:val="heading 2"/>
    <w:basedOn w:val="Normal"/>
    <w:next w:val="Normal"/>
    <w:pPr>
      <w:pBdr>
        <w:bottom w:color="45e3d4" w:space="2" w:sz="8" w:val="single"/>
      </w:pBdr>
      <w:spacing w:after="200" w:before="200" w:lineRule="auto"/>
    </w:pPr>
    <w:rPr>
      <w:rFonts w:ascii="Arial" w:cs="Arial" w:eastAsia="Arial" w:hAnsi="Arial"/>
      <w:color w:val="091f56"/>
      <w:sz w:val="32"/>
      <w:szCs w:val="32"/>
    </w:rPr>
  </w:style>
  <w:style w:type="paragraph" w:styleId="Heading3">
    <w:name w:val="heading 3"/>
    <w:basedOn w:val="Normal"/>
    <w:next w:val="Normal"/>
    <w:pPr>
      <w:spacing w:after="200" w:before="200" w:lineRule="auto"/>
    </w:pPr>
    <w:rPr>
      <w:rFonts w:ascii="Arial" w:cs="Arial" w:eastAsia="Arial" w:hAnsi="Arial"/>
      <w:b w:val="1"/>
      <w:bCs w:val="1"/>
      <w:color w:val="091f56"/>
      <w:sz w:val="24"/>
      <w:szCs w:val="24"/>
    </w:rPr>
  </w:style>
  <w:style w:type="paragraph" w:styleId="Heading4">
    <w:name w:val="heading 4"/>
    <w:basedOn w:val="Normal"/>
    <w:next w:val="Normal"/>
    <w:pPr>
      <w:keepNext w:val="1"/>
      <w:keepLines w:val="1"/>
      <w:spacing w:after="200" w:before="200" w:lineRule="auto"/>
    </w:pPr>
    <w:rPr>
      <w:color w:val="6b96e6"/>
      <w:sz w:val="24"/>
      <w:szCs w:val="24"/>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b w:val="1"/>
      <w:bCs w:val="1"/>
      <w:color w:val="6b96e6"/>
    </w:rPr>
  </w:style>
  <w:style w:type="paragraph" w:styleId="Title">
    <w:name w:val="Title"/>
    <w:basedOn w:val="Normal"/>
    <w:next w:val="Normal"/>
    <w:pPr>
      <w:spacing w:before="400" w:line="240" w:lineRule="auto"/>
    </w:pPr>
    <w:rPr>
      <w:color w:val="0b5394"/>
      <w:sz w:val="52"/>
      <w:szCs w:val="52"/>
    </w:rPr>
  </w:style>
  <w:style w:type="paragraph" w:styleId="Subtitle">
    <w:name w:val="Subtitle"/>
    <w:basedOn w:val="Normal"/>
    <w:next w:val="Normal"/>
    <w:pPr/>
    <w:rPr>
      <w:color w:val="3c78d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2.pn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