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7FFFD"/>
  <w:body>
    <w:p w:rsidR="00000000" w:rsidDel="00000000" w:rsidP="00000000" w:rsidRDefault="00000000" w:rsidRPr="00000000" w14:paraId="00000001">
      <w:pPr>
        <w:pStyle w:val="Heading2"/>
        <w:rPr/>
      </w:pPr>
      <w:bookmarkStart w:colFirst="0" w:colLast="0" w:name="_ogrexzixrmvt" w:id="0"/>
      <w:bookmarkEnd w:id="0"/>
      <w:r w:rsidDel="00000000" w:rsidR="00000000" w:rsidRPr="00000000">
        <w:rPr>
          <w:rtl w:val="0"/>
        </w:rPr>
        <w:t xml:space="preserve">1. Overview and Objective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integration is designed to enable the secure sending of emails (encrypted messages) from MVS's Salesforce system via the SpecterX server. The goal is to enforce MVS's security policies on all outbound communications originating from the Salesforce platform.</w:t>
      </w:r>
    </w:p>
    <w:p w:rsidR="00000000" w:rsidDel="00000000" w:rsidP="00000000" w:rsidRDefault="00000000" w:rsidRPr="00000000" w14:paraId="00000004">
      <w:pPr>
        <w:pStyle w:val="Heading2"/>
        <w:rPr/>
      </w:pPr>
      <w:bookmarkStart w:colFirst="0" w:colLast="0" w:name="_px9fv55u8z43" w:id="1"/>
      <w:bookmarkEnd w:id="1"/>
      <w:r w:rsidDel="00000000" w:rsidR="00000000" w:rsidRPr="00000000">
        <w:rPr>
          <w:rtl w:val="0"/>
        </w:rPr>
        <w:t xml:space="preserve">2. Technical Mechanism and Flow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core of the integration involves Salesforce communicating with SpecterX via an API call to initiate the email process.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Policy Enforcement:</w:t>
      </w:r>
      <w:r w:rsidDel="00000000" w:rsidR="00000000" w:rsidRPr="00000000">
        <w:rPr>
          <w:rtl w:val="0"/>
        </w:rPr>
        <w:t xml:space="preserve"> The security policy is applied and executed within the SpecterX system, not in Salesforce.</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Decoupling:</w:t>
      </w:r>
      <w:r w:rsidDel="00000000" w:rsidR="00000000" w:rsidRPr="00000000">
        <w:rPr>
          <w:rtl w:val="0"/>
        </w:rPr>
        <w:t xml:space="preserve"> The security Policy selected is completely separate from the type of encryption used.</w:t>
      </w:r>
    </w:p>
    <w:p w:rsidR="00000000" w:rsidDel="00000000" w:rsidP="00000000" w:rsidRDefault="00000000" w:rsidRPr="00000000" w14:paraId="00000009">
      <w:pPr>
        <w:pStyle w:val="Heading2"/>
        <w:rPr/>
      </w:pPr>
      <w:bookmarkStart w:colFirst="0" w:colLast="0" w:name="_lxtnbgh04pgi" w:id="2"/>
      <w:bookmarkEnd w:id="2"/>
      <w:r w:rsidDel="00000000" w:rsidR="00000000" w:rsidRPr="00000000">
        <w:rPr>
          <w:rtl w:val="0"/>
        </w:rPr>
        <w:t xml:space="preserve">3. Key Configuration Parameters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Salesforce must include specific parameters in the API call to control the policy and scope of encryption:</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780"/>
        <w:gridCol w:w="4805"/>
        <w:tblGridChange w:id="0">
          <w:tblGrid>
            <w:gridCol w:w="1790"/>
            <w:gridCol w:w="2780"/>
            <w:gridCol w:w="4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Configuration 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Policy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Specifies the security policy to be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If no Policy is specified, a default policy will be assigned to the email and attachments.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ProtectionType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Defines the scope of the message 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This value is separate from the Policy selected.</w:t>
            </w:r>
          </w:p>
        </w:tc>
      </w:tr>
    </w:tbl>
    <w:p w:rsidR="00000000" w:rsidDel="00000000" w:rsidP="00000000" w:rsidRDefault="00000000" w:rsidRPr="00000000" w14:paraId="00000015">
      <w:pPr>
        <w:rPr/>
      </w:pPr>
      <w:r w:rsidDel="00000000" w:rsidR="00000000" w:rsidRPr="00000000">
        <w:rPr>
          <w:b w:val="1"/>
          <w:bCs w:val="1"/>
          <w:rtl w:val="0"/>
        </w:rPr>
        <w:t xml:space="preserve">Valid </w:t>
      </w:r>
      <w:r w:rsidDel="00000000" w:rsidR="00000000" w:rsidRPr="00000000">
        <w:rPr>
          <w:rFonts w:ascii="Roboto Mono" w:cs="Roboto Mono" w:eastAsia="Roboto Mono" w:hAnsi="Roboto Mono"/>
          <w:b w:val="1"/>
          <w:bCs w:val="1"/>
          <w:color w:val="188038"/>
          <w:rtl w:val="0"/>
        </w:rPr>
        <w:t xml:space="preserve">ProtectionType</w:t>
      </w:r>
      <w:r w:rsidDel="00000000" w:rsidR="00000000" w:rsidRPr="00000000">
        <w:rPr>
          <w:b w:val="1"/>
          <w:bCs w:val="1"/>
          <w:rtl w:val="0"/>
        </w:rPr>
        <w:t xml:space="preserve"> Values</w:t>
      </w:r>
      <w:r w:rsidDel="00000000" w:rsidR="00000000" w:rsidRPr="00000000">
        <w:rPr>
          <w:rtl w:val="0"/>
        </w:rPr>
        <w:t xml:space="preserve">:</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Attachments</w:t>
      </w:r>
      <w:r w:rsidDel="00000000" w:rsidR="00000000" w:rsidRPr="00000000">
        <w:rPr>
          <w:rtl w:val="0"/>
        </w:rPr>
        <w:t xml:space="preserve">: Protects attached files only. This is the default if no </w:t>
      </w:r>
      <w:r w:rsidDel="00000000" w:rsidR="00000000" w:rsidRPr="00000000">
        <w:rPr>
          <w:rFonts w:ascii="Roboto Mono" w:cs="Roboto Mono" w:eastAsia="Roboto Mono" w:hAnsi="Roboto Mono"/>
          <w:color w:val="188038"/>
          <w:rtl w:val="0"/>
        </w:rPr>
        <w:t xml:space="preserve">ProtectionType</w:t>
      </w:r>
      <w:r w:rsidDel="00000000" w:rsidR="00000000" w:rsidRPr="00000000">
        <w:rPr>
          <w:rtl w:val="0"/>
        </w:rPr>
        <w:t xml:space="preserve"> value is specified.</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Protects both the email body and the attached files.</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i w:val="1"/>
          <w:iCs w:val="1"/>
          <w:rtl w:val="0"/>
        </w:rPr>
        <w:t xml:space="preserve">Note:</w:t>
      </w:r>
      <w:r w:rsidDel="00000000" w:rsidR="00000000" w:rsidRPr="00000000">
        <w:rPr>
          <w:rtl w:val="0"/>
        </w:rPr>
        <w:t xml:space="preserve"> The value </w:t>
      </w:r>
      <w:r w:rsidDel="00000000" w:rsidR="00000000" w:rsidRPr="00000000">
        <w:rPr>
          <w:rFonts w:ascii="Roboto Mono" w:cs="Roboto Mono" w:eastAsia="Roboto Mono" w:hAnsi="Roboto Mono"/>
          <w:color w:val="188038"/>
          <w:rtl w:val="0"/>
        </w:rPr>
        <w:t xml:space="preserve">Attachment</w:t>
      </w:r>
      <w:r w:rsidDel="00000000" w:rsidR="00000000" w:rsidRPr="00000000">
        <w:rPr>
          <w:rtl w:val="0"/>
        </w:rPr>
        <w:t xml:space="preserve"> is not a legal value.</w:t>
      </w:r>
    </w:p>
    <w:p w:rsidR="00000000" w:rsidDel="00000000" w:rsidP="00000000" w:rsidRDefault="00000000" w:rsidRPr="00000000" w14:paraId="00000019">
      <w:pPr>
        <w:pStyle w:val="Heading2"/>
        <w:rPr/>
      </w:pPr>
      <w:bookmarkStart w:colFirst="0" w:colLast="0" w:name="_jkzgu8bbqjk2" w:id="3"/>
      <w:bookmarkEnd w:id="3"/>
      <w:r w:rsidDel="00000000" w:rsidR="00000000" w:rsidRPr="00000000">
        <w:rPr>
          <w:rtl w:val="0"/>
        </w:rPr>
        <w:t xml:space="preserve">4. Project Status and Timeline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final specification for sending emails from Salesforce via SpecterX was reviewed and approved by Doron Shemesh (MVS).</w:t>
      </w:r>
    </w:p>
    <w:p w:rsidR="00000000" w:rsidDel="00000000" w:rsidP="00000000" w:rsidRDefault="00000000" w:rsidRPr="00000000" w14:paraId="0000001C">
      <w:pPr>
        <w:numPr>
          <w:ilvl w:val="0"/>
          <w:numId w:val="3"/>
        </w:numPr>
        <w:spacing w:after="240" w:before="240" w:lineRule="auto"/>
        <w:ind w:left="720" w:hanging="360"/>
      </w:pPr>
      <w:r w:rsidDel="00000000" w:rsidR="00000000" w:rsidRPr="00000000">
        <w:rPr>
          <w:b w:val="1"/>
          <w:bCs w:val="1"/>
          <w:rtl w:val="0"/>
        </w:rPr>
        <w:t xml:space="preserve">Next Steps:</w:t>
      </w:r>
      <w:r w:rsidDel="00000000" w:rsidR="00000000" w:rsidRPr="00000000">
        <w:rPr>
          <w:rtl w:val="0"/>
        </w:rPr>
        <w:t xml:space="preserve"> Doron Shemesh confirmed approval from the Salesforce team, allowing the project to move forward. SpecterX confirmed they would add the change to their work plan and update the timeline shortly (as of March 27, 2025).</w:t>
      </w:r>
    </w:p>
    <w:p w:rsidR="00000000" w:rsidDel="00000000" w:rsidP="00000000" w:rsidRDefault="00000000" w:rsidRPr="00000000" w14:paraId="0000001D">
      <w:pPr>
        <w:pStyle w:val="Heading2"/>
        <w:rPr/>
      </w:pPr>
      <w:bookmarkStart w:colFirst="0" w:colLast="0" w:name="_o2ahg058ebmy" w:id="4"/>
      <w:bookmarkEnd w:id="4"/>
      <w:r w:rsidDel="00000000" w:rsidR="00000000" w:rsidRPr="00000000">
        <w:rPr>
          <w:rtl w:val="0"/>
        </w:rPr>
        <w:t xml:space="preserve">5. Security Considerations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critical discussion point is the security of the SpecterX API, as it is exposed externally.</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API Exposure:</w:t>
      </w:r>
      <w:r w:rsidDel="00000000" w:rsidR="00000000" w:rsidRPr="00000000">
        <w:rPr>
          <w:rtl w:val="0"/>
        </w:rPr>
        <w:t xml:space="preserve"> It is necessary to consider how to secure access to the API, as the API is being published "out to the world".</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Next Steps:</w:t>
      </w:r>
      <w:r w:rsidDel="00000000" w:rsidR="00000000" w:rsidRPr="00000000">
        <w:rPr>
          <w:rtl w:val="0"/>
        </w:rPr>
        <w:t xml:space="preserve"> The MVS team (Doron Shemesh) requested confirmation on how the API access would be secured.</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