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03EFA" w14:textId="16BE585C" w:rsidR="00A4296E" w:rsidRDefault="001160EB">
      <w:pPr>
        <w:spacing w:before="1440" w:after="240"/>
        <w:jc w:val="center"/>
      </w:pPr>
      <w:r>
        <w:rPr>
          <w:b/>
          <w:bCs/>
          <w:color w:val="1F3864"/>
          <w:sz w:val="52"/>
          <w:szCs w:val="52"/>
        </w:rPr>
        <w:t>CDRP integration plan</w:t>
      </w:r>
    </w:p>
    <w:p w14:paraId="12395DCA" w14:textId="77777777" w:rsidR="00A4296E" w:rsidRDefault="00A4296E">
      <w:pPr>
        <w:pageBreakBefore/>
      </w:pPr>
    </w:p>
    <w:sdt>
      <w:sdtPr>
        <w:rPr>
          <w:rFonts w:ascii="Arial" w:eastAsia="Arial" w:hAnsi="Arial" w:cs="Arial"/>
          <w:color w:val="auto"/>
          <w:sz w:val="22"/>
          <w:szCs w:val="22"/>
          <w:lang w:val="en-GB"/>
        </w:rPr>
        <w:id w:val="890692734"/>
        <w:docPartObj>
          <w:docPartGallery w:val="Table of Contents"/>
          <w:docPartUnique/>
        </w:docPartObj>
      </w:sdtPr>
      <w:sdtEndPr>
        <w:rPr>
          <w:b/>
          <w:bCs/>
        </w:rPr>
      </w:sdtEndPr>
      <w:sdtContent>
        <w:p w14:paraId="1C34E8D6" w14:textId="57420374" w:rsidR="00373F2E" w:rsidRDefault="00373F2E">
          <w:pPr>
            <w:pStyle w:val="TOCHeading"/>
          </w:pPr>
          <w:r>
            <w:rPr>
              <w:lang w:val="en-GB"/>
            </w:rPr>
            <w:t>Contents</w:t>
          </w:r>
        </w:p>
        <w:p w14:paraId="3E33A986" w14:textId="7979EB31" w:rsidR="00B425C8" w:rsidRDefault="00373F2E">
          <w:pPr>
            <w:pStyle w:val="TOC1"/>
            <w:tabs>
              <w:tab w:val="left" w:pos="480"/>
              <w:tab w:val="right" w:leader="dot" w:pos="10070"/>
            </w:tabs>
            <w:rPr>
              <w:rFonts w:asciiTheme="minorHAnsi" w:eastAsiaTheme="minorEastAsia" w:hAnsiTheme="minorHAnsi" w:cstheme="minorBidi"/>
              <w:noProof/>
              <w:kern w:val="2"/>
              <w:sz w:val="24"/>
              <w:szCs w:val="24"/>
              <w14:ligatures w14:val="standardContextual"/>
            </w:rPr>
          </w:pPr>
          <w:r>
            <w:fldChar w:fldCharType="begin"/>
            <w:instrText xml:space="preserve"> TOC \o "1-3" \h \z \u </w:instrText>
            <w:fldChar w:fldCharType="separate"/>
          </w:r>
          <w:hyperlink w:anchor="_Toc230703797" w:history="1">
            <w:r>
              <w:rPr>
                <w:rStyle w:val="Hyperlink"/>
                <w:noProof/>
              </w:rPr>
              <w:t>1.</w:t>
            </w:r>
            <w:r>
              <w:rPr>
                <w:rFonts w:asciiTheme="minorHAnsi" w:eastAsiaTheme="minorEastAsia" w:hAnsiTheme="minorHAnsi" w:cstheme="minorBidi"/>
                <w:noProof/>
                <w:kern w:val="2"/>
                <w:sz w:val="24"/>
                <w:szCs w:val="24"/>
                <w14:ligatures w14:val="standardContextual"/>
              </w:rPr>
              <w:tab/>
            </w:r>
            <w:r>
              <w:rPr>
                <w:rStyle w:val="Hyperlink"/>
                <w:noProof/>
              </w:rPr>
              <w:t>Scope.</w:t>
            </w:r>
            <w:r>
              <w:rPr>
                <w:noProof/>
                <w:webHidden/>
              </w:rPr>
              <w:tab/>
              <w:fldChar w:fldCharType="begin"/>
              <w:instrText xml:space="preserve"> PAGEREF _Toc230703797 \h </w:instrText>
              <w:fldChar w:fldCharType="separate"/>
              <w:t>3</w:t>
              <w:fldChar w:fldCharType="end"/>
            </w:r>
          </w:hyperlink>
        </w:p>
        <w:p w14:paraId="5EFB5038" w14:textId="2D550326" w:rsidR="00B425C8" w:rsidRDefault="00B425C8">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0703798" w:history="1">
            <w:r>
              <w:rPr>
                <w:rStyle w:val="Hyperlink"/>
                <w:noProof/>
              </w:rPr>
              <w:t>1.1</w:t>
            </w:r>
            <w:r>
              <w:rPr>
                <w:rFonts w:asciiTheme="minorHAnsi" w:eastAsiaTheme="minorEastAsia" w:hAnsiTheme="minorHAnsi" w:cstheme="minorBidi"/>
                <w:noProof/>
                <w:kern w:val="2"/>
                <w:sz w:val="24"/>
                <w:szCs w:val="24"/>
                <w14:ligatures w14:val="standardContextual"/>
              </w:rPr>
              <w:tab/>
            </w:r>
            <w:r>
              <w:rPr>
                <w:rStyle w:val="Hyperlink"/>
                <w:noProof/>
              </w:rPr>
              <w:t>Identification.</w:t>
            </w:r>
            <w:r>
              <w:rPr>
                <w:noProof/>
                <w:webHidden/>
              </w:rPr>
              <w:tab/>
              <w:fldChar w:fldCharType="begin"/>
              <w:instrText xml:space="preserve"> PAGEREF _Toc230703798 \h </w:instrText>
              <w:fldChar w:fldCharType="separate"/>
              <w:t>3</w:t>
              <w:fldChar w:fldCharType="end"/>
            </w:r>
          </w:hyperlink>
        </w:p>
        <w:p w14:paraId="6A416CAD" w14:textId="468C275E" w:rsidR="00B425C8" w:rsidRDefault="00B425C8">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0703799" w:history="1">
            <w:r>
              <w:rPr>
                <w:rStyle w:val="Hyperlink"/>
                <w:noProof/>
              </w:rPr>
              <w:t>1.2</w:t>
            </w:r>
            <w:r>
              <w:rPr>
                <w:rFonts w:asciiTheme="minorHAnsi" w:eastAsiaTheme="minorEastAsia" w:hAnsiTheme="minorHAnsi" w:cstheme="minorBidi"/>
                <w:noProof/>
                <w:kern w:val="2"/>
                <w:sz w:val="24"/>
                <w:szCs w:val="24"/>
                <w14:ligatures w14:val="standardContextual"/>
              </w:rPr>
              <w:tab/>
            </w:r>
            <w:r>
              <w:rPr>
                <w:rStyle w:val="Hyperlink"/>
                <w:noProof/>
              </w:rPr>
              <w:t>Lab Setup</w:t>
            </w:r>
            <w:r>
              <w:rPr>
                <w:noProof/>
                <w:webHidden/>
              </w:rPr>
              <w:tab/>
              <w:fldChar w:fldCharType="begin"/>
              <w:instrText xml:space="preserve"> PAGEREF _Toc230703799 \h </w:instrText>
              <w:fldChar w:fldCharType="separate"/>
              <w:t>3</w:t>
              <w:fldChar w:fldCharType="end"/>
            </w:r>
          </w:hyperlink>
        </w:p>
        <w:p w14:paraId="6AF31E1C" w14:textId="69708BE6" w:rsidR="00B425C8" w:rsidRDefault="00B425C8">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0703800" w:history="1">
            <w:r>
              <w:rPr>
                <w:rStyle w:val="Hyperlink"/>
                <w:noProof/>
              </w:rPr>
              <w:t>1.3</w:t>
            </w:r>
            <w:r>
              <w:rPr>
                <w:rFonts w:asciiTheme="minorHAnsi" w:eastAsiaTheme="minorEastAsia" w:hAnsiTheme="minorHAnsi" w:cstheme="minorBidi"/>
                <w:noProof/>
                <w:kern w:val="2"/>
                <w:sz w:val="24"/>
                <w:szCs w:val="24"/>
                <w14:ligatures w14:val="standardContextual"/>
              </w:rPr>
              <w:tab/>
            </w:r>
            <w:r>
              <w:rPr>
                <w:rStyle w:val="Hyperlink"/>
                <w:noProof/>
              </w:rPr>
              <w:t>list of Test accesory needed</w:t>
            </w:r>
            <w:r>
              <w:rPr>
                <w:noProof/>
                <w:webHidden/>
              </w:rPr>
              <w:tab/>
              <w:fldChar w:fldCharType="begin"/>
              <w:instrText xml:space="preserve"> PAGEREF _Toc230703800 \h </w:instrText>
              <w:fldChar w:fldCharType="separate"/>
              <w:t>4</w:t>
              <w:fldChar w:fldCharType="end"/>
            </w:r>
          </w:hyperlink>
        </w:p>
        <w:p w14:paraId="0BD6FC48" w14:textId="19B57D2E" w:rsidR="00B425C8" w:rsidRDefault="00B425C8">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0703801" w:history="1">
            <w:r>
              <w:rPr>
                <w:rStyle w:val="Hyperlink"/>
                <w:noProof/>
              </w:rPr>
              <w:t>1.4</w:t>
            </w:r>
            <w:r>
              <w:rPr>
                <w:rFonts w:asciiTheme="minorHAnsi" w:eastAsiaTheme="minorEastAsia" w:hAnsiTheme="minorHAnsi" w:cstheme="minorBidi"/>
                <w:noProof/>
                <w:kern w:val="2"/>
                <w:sz w:val="24"/>
                <w:szCs w:val="24"/>
                <w14:ligatures w14:val="standardContextual"/>
              </w:rPr>
              <w:tab/>
            </w:r>
            <w:r>
              <w:rPr>
                <w:rStyle w:val="Hyperlink"/>
                <w:noProof/>
              </w:rPr>
              <w:t>Software capabilities for integration</w:t>
            </w:r>
            <w:r>
              <w:rPr>
                <w:noProof/>
                <w:webHidden/>
              </w:rPr>
              <w:tab/>
              <w:fldChar w:fldCharType="begin"/>
              <w:instrText xml:space="preserve"> PAGEREF _Toc230703801 \h </w:instrText>
              <w:fldChar w:fldCharType="separate"/>
              <w:t>4</w:t>
              <w:fldChar w:fldCharType="end"/>
            </w:r>
          </w:hyperlink>
        </w:p>
        <w:p w14:paraId="5198FD0B" w14:textId="4C112303" w:rsidR="00B425C8" w:rsidRDefault="00B425C8">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0703802" w:history="1">
            <w:r>
              <w:rPr>
                <w:rStyle w:val="Hyperlink"/>
                <w:noProof/>
              </w:rPr>
              <w:t>1.5</w:t>
            </w:r>
            <w:r>
              <w:rPr>
                <w:rFonts w:asciiTheme="minorHAnsi" w:eastAsiaTheme="minorEastAsia" w:hAnsiTheme="minorHAnsi" w:cstheme="minorBidi"/>
                <w:noProof/>
                <w:kern w:val="2"/>
                <w:sz w:val="24"/>
                <w:szCs w:val="24"/>
                <w14:ligatures w14:val="standardContextual"/>
              </w:rPr>
              <w:tab/>
            </w:r>
            <w:r>
              <w:rPr>
                <w:rStyle w:val="Hyperlink"/>
                <w:noProof/>
              </w:rPr>
              <w:t>Integration phases</w:t>
            </w:r>
            <w:r>
              <w:rPr>
                <w:noProof/>
                <w:webHidden/>
              </w:rPr>
              <w:tab/>
              <w:fldChar w:fldCharType="begin"/>
              <w:instrText xml:space="preserve"> PAGEREF _Toc230703802 \h </w:instrText>
              <w:fldChar w:fldCharType="separate"/>
              <w:t>4</w:t>
              <w:fldChar w:fldCharType="end"/>
            </w:r>
          </w:hyperlink>
        </w:p>
        <w:p w14:paraId="34D514A3" w14:textId="7530733F" w:rsidR="00373F2E" w:rsidRDefault="00373F2E">
          <w:r>
            <w:rPr>
              <w:b/>
              <w:bCs/>
              <w:lang w:val="en-GB"/>
            </w:rPr>
            <w:fldChar w:fldCharType="end"/>
          </w:r>
        </w:p>
      </w:sdtContent>
    </w:sdt>
    <w:p w14:paraId="7EDBA17C" w14:textId="77777777" w:rsidR="00A4296E" w:rsidRDefault="00A4296E">
      <w:pPr>
        <w:pageBreakBefore/>
      </w:pPr>
    </w:p>
    <w:p w14:paraId="4ACF11A6" w14:textId="3484293E" w:rsidR="00A4296E" w:rsidRPr="00ED2D39" w:rsidRDefault="00000000" w:rsidP="00CB1303">
      <w:pPr>
        <w:pStyle w:val="Heading1"/>
        <w:numPr>
          <w:ilvl w:val="0"/>
          <w:numId w:val="8"/>
        </w:numPr>
      </w:pPr>
      <w:bookmarkStart w:id="0" w:name="_Toc230703797"/>
      <w:r>
        <w:t>Scope.</w:t>
      </w:r>
      <w:bookmarkEnd w:id="0"/>
    </w:p>
    <w:p w14:paraId="04E4F409" w14:textId="2100A172" w:rsidR="00A4296E" w:rsidRPr="00373F2E" w:rsidRDefault="00000000" w:rsidP="00373F2E">
      <w:pPr>
        <w:pStyle w:val="Heading2"/>
      </w:pPr>
      <w:bookmarkStart w:id="1" w:name="_Toc230703798"/>
      <w:r>
        <w:t>Identification.</w:t>
      </w:r>
      <w:bookmarkEnd w:id="1"/>
    </w:p>
    <w:p w14:paraId="1B659A60" w14:textId="37F284EA" w:rsidR="00A4296E" w:rsidRDefault="00000000" w:rsidP="001160EB">
      <w:pPr>
        <w:spacing w:after="100"/>
      </w:pPr>
      <w:r>
        <w:t>This document is to form the CDRP integarion plan</w:t>
      </w:r>
    </w:p>
    <w:p w14:paraId="05D3FDD7" w14:textId="40C70C6A" w:rsidR="00B425C8" w:rsidRDefault="00AE19CC" w:rsidP="00B425C8">
      <w:pPr>
        <w:pStyle w:val="Heading2"/>
      </w:pPr>
      <w:r>
        <w:t>CDRP Sensor System Description</w:t>
      </w:r>
    </w:p>
    <w:p>
      <w:pPr>
        <w:pStyle w:val="Heading3"/>
      </w:pPr>
      <w:r>
        <w:t>1. System Overview</w:t>
      </w:r>
    </w:p>
    <w:p>
      <w:pPr>
        <w:spacing w:after="100"/>
      </w:pPr>
      <w:r>
        <w:t xml:space="preserve">The CDRP (Compact Digital Receiver Platform) sensor is composed of two tightly integrated hardware modules: the </w:t>
      </w:r>
      <w:r>
        <w:rPr>
          <w:b/>
        </w:rPr>
        <w:t>CSPIR</w:t>
      </w:r>
      <w:r>
        <w:t xml:space="preserve"> (Compact Signal Processing and Intercept Receiver) digital card, and the </w:t>
      </w:r>
      <w:r>
        <w:rPr>
          <w:b/>
        </w:rPr>
        <w:t>MOFC</w:t>
      </w:r>
      <w:r>
        <w:t xml:space="preserve"> (Miniature Octal Frequency Converter). Together, these modules provide a capable platform for wideband signal interception, frequency conversion, and Pulse Descriptor Word (PDW) extraction.</w:t>
      </w:r>
    </w:p>
    <w:p>
      <w:pPr>
        <w:pStyle w:val="Heading3"/>
      </w:pPr>
      <w:r>
        <w:t>2. CSPIR – Digital Receiver Card</w:t>
      </w:r>
    </w:p>
    <w:p>
      <w:pPr>
        <w:pStyle w:val="Heading3"/>
      </w:pPr>
      <w:r>
        <w:t>2.1 ADC and IF Input</w:t>
      </w:r>
    </w:p>
    <w:p>
      <w:pPr>
        <w:spacing w:after="100"/>
      </w:pPr>
      <w:r>
        <w:t>The CSPIR incorporates a high-speed Analog-to-Digital Converter (ADC) operating at a 5 GHz sample rate. The ADC accepts IF signals sourced from the MOFC across two supported frequency ranges:</w:t>
      </w:r>
    </w:p>
    <w:p>
      <w:pPr>
        <w:numPr>
          <w:ilvl w:val="0"/>
          <w:numId w:val="1"/>
        </w:numPr>
        <w:spacing w:after="60"/>
      </w:pPr>
      <w:r>
        <w:rPr>
          <w:b/>
        </w:rPr>
        <w:t>2.75 – 4.75 GHz</w:t>
      </w:r>
      <w:r>
        <w:t xml:space="preserve"> (appearing in the first Nyquist zone)</w:t>
      </w:r>
    </w:p>
    <w:p>
      <w:pPr>
        <w:numPr>
          <w:ilvl w:val="0"/>
          <w:numId w:val="1"/>
        </w:numPr>
        <w:spacing w:after="100"/>
      </w:pPr>
      <w:r>
        <w:rPr>
          <w:b/>
        </w:rPr>
        <w:t>0.3 – 2.4 GHz</w:t>
      </w:r>
      <w:r>
        <w:t xml:space="preserve"> (appearing in the second Nyquist zone)</w:t>
      </w:r>
    </w:p>
    <w:p>
      <w:pPr>
        <w:spacing w:after="100"/>
      </w:pPr>
      <w:r>
        <w:t>Both IF bands are simultaneously supported and are properly reflected within their respective Nyquist zones of the ADC.</w:t>
      </w:r>
    </w:p>
    <w:p>
      <w:pPr>
        <w:pStyle w:val="Heading3"/>
      </w:pPr>
      <w:r>
        <w:t>2.2 Scan Table and Signal Processing</w:t>
      </w:r>
    </w:p>
    <w:p>
      <w:pPr>
        <w:spacing w:after="100"/>
      </w:pPr>
      <w:r>
        <w:t xml:space="preserve">The CSPIR supports a programmable </w:t>
      </w:r>
      <w:r>
        <w:rPr>
          <w:b/>
        </w:rPr>
        <w:t>scan table</w:t>
      </w:r>
      <w:r>
        <w:t xml:space="preserve"> mechanism, which coordinates tuning commands to the MOFC, controls ADC data capture windows, and manages signal processing operations. The scan table enables:</w:t>
      </w:r>
    </w:p>
    <w:p>
      <w:pPr>
        <w:numPr>
          <w:ilvl w:val="0"/>
          <w:numId w:val="2"/>
        </w:numPr>
        <w:spacing w:after="60"/>
      </w:pPr>
      <w:r>
        <w:t>Directed ADC sampling across frequency bands of interest</w:t>
      </w:r>
    </w:p>
    <w:p>
      <w:pPr>
        <w:numPr>
          <w:ilvl w:val="0"/>
          <w:numId w:val="2"/>
        </w:numPr>
        <w:spacing w:after="60"/>
      </w:pPr>
      <w:r>
        <w:t xml:space="preserve">Real-time processing of both </w:t>
      </w:r>
      <w:r>
        <w:rPr>
          <w:b/>
        </w:rPr>
        <w:t>CW (Continuous Wave)</w:t>
      </w:r>
      <w:r>
        <w:t xml:space="preserve"> and </w:t>
      </w:r>
      <w:r>
        <w:rPr>
          <w:b/>
        </w:rPr>
        <w:t>pulsed</w:t>
      </w:r>
      <w:r>
        <w:t xml:space="preserve"> RF signals</w:t>
      </w:r>
    </w:p>
    <w:p>
      <w:pPr>
        <w:numPr>
          <w:ilvl w:val="0"/>
          <w:numId w:val="2"/>
        </w:numPr>
        <w:spacing w:after="100"/>
      </w:pPr>
      <w:r>
        <w:t xml:space="preserve">Extraction and reporting of </w:t>
      </w:r>
      <w:r>
        <w:rPr>
          <w:b/>
        </w:rPr>
        <w:t>Pulse Descriptor Words (PDWs)</w:t>
      </w:r>
      <w:r>
        <w:t xml:space="preserve">, including: Power, Pulse Width, Phase / Delta-Phase (DPHASE), Time of Arrival (TOA), and Frequency</w:t>
      </w:r>
    </w:p>
    <w:p>
      <w:pPr>
        <w:pStyle w:val="Heading3"/>
      </w:pPr>
      <w:r>
        <w:t>2.3 Embedded Processing Subsystem</w:t>
      </w:r>
    </w:p>
    <w:p>
      <w:pPr>
        <w:spacing w:after="100"/>
      </w:pPr>
      <w:r>
        <w:t xml:space="preserve">The CSPIR integrates an onboard </w:t>
      </w:r>
      <w:r>
        <w:rPr>
          <w:b/>
        </w:rPr>
        <w:t>Processing Subsystem (PS)</w:t>
      </w:r>
      <w:r>
        <w:t xml:space="preserve"> running a Linux-based operating environment. An engineering test application is provided, enabling operators and integrators to:</w:t>
      </w:r>
    </w:p>
    <w:p>
      <w:pPr>
        <w:numPr>
          <w:ilvl w:val="0"/>
          <w:numId w:val="3"/>
        </w:numPr>
        <w:spacing w:after="60"/>
      </w:pPr>
      <w:r>
        <w:t>Load and configure scan tables</w:t>
      </w:r>
    </w:p>
    <w:p>
      <w:pPr>
        <w:numPr>
          <w:ilvl w:val="0"/>
          <w:numId w:val="3"/>
        </w:numPr>
        <w:spacing w:after="60"/>
      </w:pPr>
      <w:r>
        <w:t>Execute functional and diagnostic tests</w:t>
      </w:r>
    </w:p>
    <w:p>
      <w:pPr>
        <w:numPr>
          <w:ilvl w:val="0"/>
          <w:numId w:val="3"/>
        </w:numPr>
        <w:spacing w:after="100"/>
      </w:pPr>
      <w:r>
        <w:t>Collect and review output data, including raw ADC samples and PDW reports</w:t>
      </w:r>
    </w:p>
    <w:p>
      <w:pPr>
        <w:pStyle w:val="Heading3"/>
      </w:pPr>
      <w:r>
        <w:t>3. MOFC – Miniature Octal Frequency Converter</w:t>
      </w:r>
    </w:p>
    <w:p>
      <w:pPr>
        <w:pStyle w:val="Heading3"/>
      </w:pPr>
      <w:r>
        <w:t>3.1 Reference Clock</w:t>
      </w:r>
    </w:p>
    <w:p>
      <w:pPr>
        <w:spacing w:after="100"/>
      </w:pPr>
      <w:r>
        <w:t xml:space="preserve">The MOFC accepts a </w:t>
      </w:r>
      <w:r>
        <w:rPr>
          <w:b/>
        </w:rPr>
        <w:t>10 MHz external reference input</w:t>
      </w:r>
      <w:r>
        <w:t xml:space="preserve"> and generates a phase-coherent reference clock distributed to the CSPIR ADC, ensuring synchronization across the system.</w:t>
      </w:r>
    </w:p>
    <w:p>
      <w:pPr>
        <w:pStyle w:val="Heading3"/>
      </w:pPr>
      <w:r>
        <w:t>3.2 Built-In Test (BIT)</w:t>
      </w:r>
    </w:p>
    <w:p>
      <w:pPr>
        <w:spacing w:after="100"/>
      </w:pPr>
      <w:r>
        <w:t xml:space="preserve">The MOFC includes a dedicated </w:t>
      </w:r>
      <w:r>
        <w:rPr>
          <w:b/>
        </w:rPr>
        <w:t>Built-In Test (BIT)</w:t>
      </w:r>
      <w:r>
        <w:t xml:space="preserve"> unit supporting both internal and external BIT modes. The BIT signal generator supports CW and pulsed signal modes, with an output amplitude range of </w:t>
      </w:r>
      <w:r>
        <w:rPr>
          <w:b/>
        </w:rPr>
        <w:t>–80 to –30 dBm</w:t>
      </w:r>
      <w:r>
        <w:t>.</w:t>
      </w:r>
    </w:p>
    <w:p>
      <w:pPr>
        <w:pStyle w:val="Heading3"/>
      </w:pPr>
      <w:r>
        <w:t>3.3 Frequency Conversion Channels</w:t>
      </w:r>
    </w:p>
    <w:p>
      <w:pPr>
        <w:spacing w:after="100"/>
      </w:pPr>
      <w:r>
        <w:t xml:space="preserve">The MOFC provides </w:t>
      </w:r>
      <w:r>
        <w:rPr>
          <w:b/>
        </w:rPr>
        <w:t>8 independent frequency conversion channels</w:t>
      </w:r>
      <w:r>
        <w:t xml:space="preserve">, each supporting one of three conversion paths:</w:t>
      </w:r>
    </w:p>
    <w:p>
      <w:pPr>
        <w:numPr>
          <w:ilvl w:val="0"/>
          <w:numId w:val="4"/>
        </w:numPr>
        <w:spacing w:after="60"/>
      </w:pPr>
      <w:r>
        <w:rPr>
          <w:b/>
        </w:rPr>
        <w:t>Direct Path (0.3 – 66 GHz):</w:t>
      </w:r>
      <w:r>
        <w:t xml:space="preserve"> Direct conversion with selectable IF output filter: 0.3–2.4 GHz or 2.75–4.75 GHz.</w:t>
      </w:r>
    </w:p>
    <w:p>
      <w:pPr>
        <w:numPr>
          <w:ilvl w:val="0"/>
          <w:numId w:val="4"/>
        </w:numPr>
        <w:spacing w:after="60"/>
      </w:pPr>
      <w:r>
        <w:rPr>
          <w:b/>
        </w:rPr>
        <w:t>2–6 GHz Path:</w:t>
      </w:r>
      <w:r>
        <w:t xml:space="preserve"> Up-converts via LO2 to approximately 19 GHz, then down-converts to an IF of 2.75–4.75 GHz.</w:t>
      </w:r>
    </w:p>
    <w:p>
      <w:pPr>
        <w:numPr>
          <w:ilvl w:val="0"/>
          <w:numId w:val="4"/>
        </w:numPr>
        <w:spacing w:after="100"/>
      </w:pPr>
      <w:r>
        <w:rPr>
          <w:b/>
        </w:rPr>
        <w:t>6–18 GHz Path:</w:t>
      </w:r>
      <w:r>
        <w:t xml:space="preserve"> Down-converts via LO1 to an IF of 2.75–4.75 GHz.</w:t>
      </w:r>
    </w:p>
    <w:p>
      <w:pPr>
        <w:pStyle w:val="Heading3"/>
      </w:pPr>
      <w:r>
        <w:t>3.4 Gain and Attenuation</w:t>
      </w:r>
    </w:p>
    <w:p>
      <w:pPr>
        <w:spacing w:after="100"/>
      </w:pPr>
      <w:r>
        <w:t xml:space="preserve">The MOFC is designed to provide a minimum system gain of </w:t>
      </w:r>
      <w:r>
        <w:rPr>
          <w:b/>
        </w:rPr>
        <w:t>32 dB</w:t>
      </w:r>
      <w:r>
        <w:t xml:space="preserve"> across all conversion paths. Each channel features independently controlled attenuation with a range of </w:t>
      </w:r>
      <w:r>
        <w:rPr>
          <w:b/>
        </w:rPr>
        <w:t>0 to 31.5 dB</w:t>
      </w:r>
      <w:r>
        <w:t xml:space="preserve">, enabling precise per-channel signal level management.</w:t>
      </w:r>
    </w:p>
    <w:p>
      <w:pPr>
        <w:pStyle w:val="Heading3"/>
      </w:pPr>
      <w:r>
        <w:t>3.5 Phase Coherence</w:t>
      </w:r>
    </w:p>
    <w:p>
      <w:pPr>
        <w:spacing w:after="100"/>
      </w:pPr>
      <w:r>
        <w:t xml:space="preserve">A key design requirement of the MOFC is the maintenance of </w:t>
      </w:r>
      <w:r>
        <w:rPr>
          <w:b/>
        </w:rPr>
        <w:t>phase alignment across all channels and conversion paths</w:t>
      </w:r>
      <w:r>
        <w:t xml:space="preserve">. This ensures coherent multi-channel operation, which is essential for direction-finding, signal correlation, and other phase-sensitive processing tasks.</w:t>
      </w:r>
    </w:p>
    <w:p w14:paraId="6625C56C" w14:textId="01A2480B" w:rsidR="00A4296E" w:rsidRPr="00373F2E" w:rsidRDefault="001160EB" w:rsidP="00373F2E">
      <w:pPr>
        <w:pStyle w:val="Heading2"/>
      </w:pPr>
      <w:bookmarkStart w:id="2" w:name="_Toc230703799"/>
      <w:r>
        <w:t>Lab Setup</w:t>
      </w:r>
      <w:bookmarkEnd w:id="2"/>
    </w:p>
    <w:p w14:paraId="5213BD37" w14:textId="77777777" w:rsidR="00A4296E" w:rsidRDefault="00000000">
      <w:pPr>
        <w:spacing w:after="100"/>
      </w:pPr>
      <w:r>
        <w:t>Following is the CAEW ESM system block diagram.</w:t>
      </w:r>
    </w:p>
    <w:p w14:paraId="2C924D1C" w14:textId="47670AC9" w:rsidR="00122889" w:rsidRDefault="00122889" w:rsidP="00122889">
      <w:pPr>
        <w:spacing w:after="80"/>
      </w:pPr>
      <w:r>
        <w:rPr>
          <w:noProof/>
        </w:rPr>
        <w:drawing>
          <wp:inline distT="0" distB="0" distL="0" distR="0" wp14:anchorId="67546ACE" wp14:editId="448A7FC9">
            <wp:extent cx="6757060" cy="4675560"/>
            <wp:effectExtent l="0" t="0" r="5715" b="0"/>
            <wp:docPr id="2027976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82705" cy="4693305"/>
                    </a:xfrm>
                    <a:prstGeom prst="rect">
                      <a:avLst/>
                    </a:prstGeom>
                    <a:noFill/>
                    <a:ln>
                      <a:noFill/>
                    </a:ln>
                  </pic:spPr>
                </pic:pic>
              </a:graphicData>
            </a:graphic>
          </wp:inline>
        </w:drawing>
      </w:r>
    </w:p>
    <w:p w14:paraId="6A1B45F5" w14:textId="77777777" w:rsidR="00122889" w:rsidRDefault="00122889">
      <w:pPr>
        <w:rPr>
          <w:b/>
          <w:bCs/>
          <w:color w:val="1F3864"/>
          <w:sz w:val="24"/>
          <w:szCs w:val="24"/>
        </w:rPr>
      </w:pPr>
      <w:r>
        <w:br w:type="page"/>
      </w:r>
    </w:p>
    <w:p w14:paraId="77DDB64A" w14:textId="18396456" w:rsidR="0001157F" w:rsidRDefault="00373F2E" w:rsidP="00122889">
      <w:pPr>
        <w:pStyle w:val="Heading2"/>
      </w:pPr>
      <w:bookmarkStart w:id="3" w:name="_Toc230703800"/>
      <w:r>
        <w:lastRenderedPageBreak/>
        <w:t>list of Test accesory needed</w:t>
      </w:r>
      <w:bookmarkEnd w:id="3"/>
    </w:p>
    <w:p w14:paraId="17577A5D" w14:textId="77777777" w:rsidR="00122889" w:rsidRPr="00122889" w:rsidRDefault="00122889" w:rsidP="00122889">
      <w:pPr>
        <w:spacing w:after="80"/>
      </w:pPr>
    </w:p>
    <w:tbl>
      <w:tblPr>
        <w:tblW w:w="10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2"/>
        <w:gridCol w:w="4475"/>
        <w:gridCol w:w="4284"/>
        <w:gridCol w:w="698"/>
      </w:tblGrid>
      <w:tr w:rsidR="00122889" w14:paraId="1FDDE356" w14:textId="38313057" w:rsidTr="008B4295">
        <w:trPr>
          <w:tblHeader/>
        </w:trPr>
        <w:tc>
          <w:tcPr>
            <w:tcW w:w="632"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DC1FFC6" w14:textId="77777777" w:rsidR="00122889" w:rsidRDefault="00122889" w:rsidP="00BE164D">
            <w:r>
              <w:rPr>
                <w:b/>
                <w:bCs/>
                <w:color w:val="FFFFFF"/>
                <w:sz w:val="20"/>
                <w:szCs w:val="20"/>
              </w:rPr>
              <w:t>Ref #</w:t>
            </w:r>
          </w:p>
        </w:tc>
        <w:tc>
          <w:tcPr>
            <w:tcW w:w="4475"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67E4E9C" w14:textId="3D1783CA" w:rsidR="00122889" w:rsidRDefault="00122889" w:rsidP="00BE164D">
            <w:r>
              <w:t>Test accessory</w:t>
            </w:r>
          </w:p>
        </w:tc>
        <w:tc>
          <w:tcPr>
            <w:tcW w:w="4284"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69A7DED" w14:textId="0AA20059" w:rsidR="00122889" w:rsidRDefault="00122889" w:rsidP="00BE164D">
            <w:r>
              <w:rPr>
                <w:b/>
                <w:bCs/>
                <w:color w:val="FFFFFF"/>
                <w:sz w:val="20"/>
                <w:szCs w:val="20"/>
              </w:rPr>
              <w:t>Description</w:t>
            </w:r>
          </w:p>
        </w:tc>
        <w:tc>
          <w:tcPr>
            <w:tcW w:w="698" w:type="dxa"/>
            <w:tcBorders>
              <w:top w:val="single" w:sz="1" w:space="0" w:color="1F3864"/>
              <w:left w:val="single" w:sz="1" w:space="0" w:color="1F3864"/>
              <w:bottom w:val="single" w:sz="1" w:space="0" w:color="1F3864"/>
              <w:right w:val="single" w:sz="1" w:space="0" w:color="1F3864"/>
            </w:tcBorders>
            <w:shd w:val="clear" w:color="auto" w:fill="1F3864"/>
          </w:tcPr>
          <w:p w14:paraId="52185E4F" w14:textId="77777777" w:rsidR="00122889" w:rsidRDefault="00122889" w:rsidP="00BE164D">
            <w:pPr>
              <w:rPr>
                <w:b/>
                <w:bCs/>
                <w:color w:val="FFFFFF"/>
                <w:sz w:val="20"/>
                <w:szCs w:val="20"/>
              </w:rPr>
            </w:pPr>
          </w:p>
        </w:tc>
      </w:tr>
      <w:tr w:rsidR="00122889" w14:paraId="0C25C1F8" w14:textId="0BE6DB56"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6725FF" w14:textId="77777777" w:rsidR="00122889" w:rsidRPr="008B4295" w:rsidRDefault="00122889" w:rsidP="00BE164D">
            <w:pPr>
              <w:rPr>
                <w:color w:val="EE0000"/>
              </w:rPr>
            </w:pPr>
            <w:r>
              <w:rPr>
                <w:color w:val="EE0000"/>
                <w:sz w:val="20"/>
                <w:szCs w:val="20"/>
              </w:rPr>
              <w:t>1</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9739C" w14:textId="0AF24719" w:rsidR="00122889" w:rsidRPr="008B4295" w:rsidRDefault="00122889" w:rsidP="00BE164D">
            <w:pPr>
              <w:rPr>
                <w:color w:val="EE0000"/>
              </w:rPr>
            </w:pPr>
            <w:r>
              <w:rPr>
                <w:color w:val="EE0000"/>
              </w:rPr>
              <w:t>Signal Generator</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776D9" w14:textId="77777777" w:rsidR="00122889" w:rsidRPr="008B4295" w:rsidRDefault="00122889" w:rsidP="00BE164D">
            <w:pPr>
              <w:rPr>
                <w:color w:val="EE0000"/>
                <w:sz w:val="20"/>
                <w:szCs w:val="20"/>
              </w:rPr>
            </w:pPr>
            <w:r>
              <w:rPr>
                <w:color w:val="EE0000"/>
                <w:sz w:val="20"/>
                <w:szCs w:val="20"/>
              </w:rPr>
              <w:t>Signal generator which support</w:t>
              <w:br/>
              <w:t>1. RF frequency upto 20[ghz]</w:t>
            </w:r>
          </w:p>
          <w:p w14:paraId="20B7CBEA" w14:textId="77777777" w:rsidR="00122889" w:rsidRPr="008B4295" w:rsidRDefault="00122889" w:rsidP="00BE164D">
            <w:pPr>
              <w:rPr>
                <w:color w:val="EE0000"/>
                <w:sz w:val="20"/>
                <w:szCs w:val="20"/>
              </w:rPr>
            </w:pPr>
            <w:r>
              <w:rPr>
                <w:color w:val="EE0000"/>
                <w:sz w:val="20"/>
                <w:szCs w:val="20"/>
              </w:rPr>
              <w:t>2. injecting CW and pulses</w:t>
            </w:r>
          </w:p>
          <w:p w14:paraId="2F452EEB" w14:textId="78F322CE" w:rsidR="00122889" w:rsidRPr="008B4295" w:rsidRDefault="00122889" w:rsidP="00BE164D">
            <w:pPr>
              <w:rPr>
                <w:color w:val="EE0000"/>
              </w:rPr>
            </w:pPr>
            <w:r>
              <w:rPr>
                <w:color w:val="EE0000"/>
                <w:sz w:val="20"/>
                <w:szCs w:val="20"/>
              </w:rPr>
              <w:t xml:space="preserve">3. power injection form -90 and upto +20 [dbm </w:t>
            </w: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32793587" w14:textId="1308B1BB" w:rsidR="00122889" w:rsidRPr="008B4295" w:rsidRDefault="00122889" w:rsidP="00BE164D">
            <w:pPr>
              <w:rPr>
                <w:color w:val="EE0000"/>
                <w:sz w:val="20"/>
                <w:szCs w:val="20"/>
              </w:rPr>
            </w:pPr>
            <w:r>
              <w:rPr>
                <w:color w:val="EE0000"/>
                <w:sz w:val="20"/>
                <w:szCs w:val="20"/>
              </w:rPr>
              <w:t>ELTA</w:t>
            </w:r>
          </w:p>
        </w:tc>
      </w:tr>
      <w:tr w:rsidR="00122889" w14:paraId="0017C7F5" w14:textId="6F075A3A"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EFD58" w14:textId="77777777" w:rsidR="00122889" w:rsidRDefault="00122889" w:rsidP="00BE164D">
            <w:r>
              <w:rPr>
                <w:sz w:val="20"/>
                <w:szCs w:val="20"/>
              </w:rPr>
              <w:t>2</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9DFED" w14:textId="6E17BB54" w:rsidR="00122889" w:rsidRDefault="00122889" w:rsidP="00BE164D">
            <w:r>
              <w:rPr>
                <w:sz w:val="20"/>
                <w:szCs w:val="20"/>
              </w:rPr>
              <w:t>USB to RS232 HUB 1:4</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306176" w14:textId="7BA007E4" w:rsidR="00122889" w:rsidRDefault="00122889" w:rsidP="00BE164D"/>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081D4947" w14:textId="6FDE6036" w:rsidR="00122889" w:rsidRDefault="00122889" w:rsidP="00BE164D">
            <w:pPr>
              <w:rPr>
                <w:sz w:val="20"/>
                <w:szCs w:val="20"/>
              </w:rPr>
            </w:pPr>
            <w:r>
              <w:rPr>
                <w:sz w:val="20"/>
                <w:szCs w:val="20"/>
              </w:rPr>
              <w:t>ELTA</w:t>
            </w:r>
          </w:p>
        </w:tc>
      </w:tr>
      <w:tr w:rsidR="00122889" w14:paraId="164CF001" w14:textId="6690D2FA"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5EBE8C" w14:textId="77777777" w:rsidR="00122889" w:rsidRDefault="00122889" w:rsidP="00BE164D">
            <w:r>
              <w:rPr>
                <w:sz w:val="20"/>
                <w:szCs w:val="20"/>
              </w:rPr>
              <w:t>3</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C0D1B5" w14:textId="6776E5F9" w:rsidR="00122889" w:rsidRDefault="00122889" w:rsidP="00BE164D">
            <w:r>
              <w:rPr>
                <w:sz w:val="20"/>
                <w:szCs w:val="20"/>
              </w:rPr>
              <w:t>Phase Match cables MOFC to CSPIR</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39F3DB" w14:textId="0E23C979" w:rsidR="00122889" w:rsidRDefault="00122889" w:rsidP="00BE164D"/>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5CFAA4C6" w14:textId="470461AB" w:rsidR="00122889" w:rsidRDefault="00122889" w:rsidP="00BE164D">
            <w:pPr>
              <w:rPr>
                <w:sz w:val="20"/>
                <w:szCs w:val="20"/>
              </w:rPr>
            </w:pPr>
            <w:r>
              <w:rPr>
                <w:sz w:val="20"/>
                <w:szCs w:val="20"/>
              </w:rPr>
              <w:t>BRDN</w:t>
            </w:r>
          </w:p>
        </w:tc>
      </w:tr>
      <w:tr w:rsidR="00122889" w14:paraId="0652522B" w14:textId="1690259C"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A008DE" w14:textId="77777777" w:rsidR="00122889" w:rsidRDefault="00122889" w:rsidP="00BE164D">
            <w:r>
              <w:rPr>
                <w:sz w:val="20"/>
                <w:szCs w:val="20"/>
              </w:rPr>
              <w:t>4</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0F076" w14:textId="628E79CF" w:rsidR="00122889" w:rsidRDefault="00122889" w:rsidP="00BE164D">
            <w:r>
              <w:rPr>
                <w:sz w:val="20"/>
                <w:szCs w:val="20"/>
              </w:rPr>
              <w:t>UART 2 SPI JIG</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95A11B" w14:textId="77777777" w:rsidR="00122889" w:rsidRDefault="00122889" w:rsidP="00BE164D">
            <w:r>
              <w:rPr>
                <w:sz w:val="20"/>
                <w:szCs w:val="20"/>
              </w:rPr>
              <w:t>3010P101-003</w:t>
            </w: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32FF97CE" w14:textId="4DBC2F79" w:rsidR="00122889" w:rsidRDefault="00122889" w:rsidP="00BE164D">
            <w:pPr>
              <w:rPr>
                <w:sz w:val="20"/>
                <w:szCs w:val="20"/>
              </w:rPr>
            </w:pPr>
            <w:r>
              <w:rPr>
                <w:sz w:val="20"/>
                <w:szCs w:val="20"/>
              </w:rPr>
              <w:t>BRDN</w:t>
            </w:r>
          </w:p>
        </w:tc>
      </w:tr>
      <w:tr w:rsidR="00122889" w14:paraId="29171DD5"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04ADE" w14:textId="3B4B89B6" w:rsidR="00122889" w:rsidRDefault="00122889" w:rsidP="00BE164D">
            <w:pPr>
              <w:rPr>
                <w:sz w:val="20"/>
                <w:szCs w:val="20"/>
              </w:rPr>
            </w:pPr>
            <w:r>
              <w:rPr>
                <w:sz w:val="20"/>
                <w:szCs w:val="20"/>
              </w:rPr>
              <w:t>5</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5291A" w14:textId="3D1AB8AA" w:rsidR="00122889" w:rsidRDefault="00122889" w:rsidP="00BE164D">
            <w:pPr>
              <w:rPr>
                <w:sz w:val="20"/>
                <w:szCs w:val="20"/>
              </w:rPr>
            </w:pPr>
            <w:r>
              <w:rPr>
                <w:sz w:val="20"/>
                <w:szCs w:val="20"/>
              </w:rPr>
              <w:t>MOFC TestJig Application</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168710" w14:textId="77777777" w:rsidR="00122889" w:rsidRDefault="00122889"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0D4848A2" w14:textId="79779D8D" w:rsidR="00122889" w:rsidRDefault="008B4295" w:rsidP="00BE164D">
            <w:pPr>
              <w:rPr>
                <w:sz w:val="20"/>
                <w:szCs w:val="20"/>
              </w:rPr>
            </w:pPr>
            <w:r>
              <w:rPr>
                <w:sz w:val="20"/>
                <w:szCs w:val="20"/>
              </w:rPr>
              <w:t>BRDN</w:t>
            </w:r>
          </w:p>
        </w:tc>
      </w:tr>
      <w:tr w:rsidR="00122889" w14:paraId="061A2975"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76EA86" w14:textId="6FB9B107" w:rsidR="00122889" w:rsidRDefault="008B4295" w:rsidP="00BE164D">
            <w:pPr>
              <w:rPr>
                <w:sz w:val="20"/>
                <w:szCs w:val="20"/>
              </w:rPr>
            </w:pPr>
            <w:r>
              <w:rPr>
                <w:sz w:val="20"/>
                <w:szCs w:val="20"/>
              </w:rPr>
              <w:t>6</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0FFFCE" w14:textId="0F5F48F9" w:rsidR="00122889" w:rsidRDefault="00122889" w:rsidP="00BE164D">
            <w:pPr>
              <w:rPr>
                <w:sz w:val="20"/>
                <w:szCs w:val="20"/>
              </w:rPr>
            </w:pPr>
            <w:r>
              <w:rPr>
                <w:sz w:val="20"/>
                <w:szCs w:val="20"/>
              </w:rPr>
              <w:t>Cable from BRDN TestJig to MOFC Communication connector</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555AF" w14:textId="77777777" w:rsidR="00122889" w:rsidRDefault="00122889"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6244D7DD" w14:textId="4BD95AD3" w:rsidR="00122889" w:rsidRDefault="008B4295" w:rsidP="00BE164D">
            <w:pPr>
              <w:rPr>
                <w:sz w:val="20"/>
                <w:szCs w:val="20"/>
              </w:rPr>
            </w:pPr>
            <w:r>
              <w:rPr>
                <w:sz w:val="20"/>
                <w:szCs w:val="20"/>
              </w:rPr>
              <w:t>BRDN</w:t>
            </w:r>
          </w:p>
        </w:tc>
      </w:tr>
      <w:tr w:rsidR="008B4295" w14:paraId="7AAEAE8B" w14:textId="77777777" w:rsidTr="00BE164D">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CD676C" w14:textId="2E26ACD9" w:rsidR="008B4295" w:rsidRPr="008B4295" w:rsidRDefault="008B4295" w:rsidP="00BE164D">
            <w:pPr>
              <w:rPr>
                <w:sz w:val="20"/>
                <w:szCs w:val="20"/>
              </w:rPr>
            </w:pPr>
            <w:r>
              <w:rPr>
                <w:sz w:val="20"/>
                <w:szCs w:val="20"/>
              </w:rPr>
              <w:t>7</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059C3C" w14:textId="535265A0" w:rsidR="008B4295" w:rsidRPr="008B4295" w:rsidRDefault="008B4295" w:rsidP="00BE164D">
            <w:pPr>
              <w:rPr>
                <w:sz w:val="20"/>
                <w:szCs w:val="20"/>
              </w:rPr>
            </w:pPr>
            <w:r>
              <w:rPr>
                <w:sz w:val="20"/>
                <w:szCs w:val="20"/>
              </w:rPr>
              <w:t>Power cable for MOFC</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478955" w14:textId="77777777" w:rsidR="008B4295" w:rsidRPr="008B4295" w:rsidRDefault="008B4295"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696C4C0E" w14:textId="77777777" w:rsidR="008B4295" w:rsidRDefault="008B4295" w:rsidP="00BE164D">
            <w:pPr>
              <w:rPr>
                <w:sz w:val="20"/>
                <w:szCs w:val="20"/>
              </w:rPr>
            </w:pPr>
            <w:r>
              <w:rPr>
                <w:sz w:val="20"/>
                <w:szCs w:val="20"/>
              </w:rPr>
              <w:t>BRDN</w:t>
            </w:r>
          </w:p>
        </w:tc>
      </w:tr>
      <w:tr w:rsidR="008B4295" w14:paraId="46392DC9"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18C374" w14:textId="1A9E5250" w:rsidR="008B4295" w:rsidRPr="008B4295" w:rsidRDefault="008B4295" w:rsidP="00BE164D">
            <w:pPr>
              <w:rPr>
                <w:sz w:val="20"/>
                <w:szCs w:val="20"/>
              </w:rPr>
            </w:pPr>
            <w:r>
              <w:rPr>
                <w:sz w:val="20"/>
                <w:szCs w:val="20"/>
              </w:rPr>
              <w:t>7</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F28DD" w14:textId="4016DA12" w:rsidR="008B4295" w:rsidRPr="008B4295" w:rsidRDefault="008B4295" w:rsidP="00BE164D">
            <w:pPr>
              <w:rPr>
                <w:sz w:val="20"/>
                <w:szCs w:val="20"/>
              </w:rPr>
            </w:pPr>
            <w:r>
              <w:rPr>
                <w:sz w:val="20"/>
                <w:szCs w:val="20"/>
              </w:rPr>
              <w:t>Power Cable for BRDN TestJIG</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9F5317" w14:textId="77777777" w:rsidR="008B4295" w:rsidRPr="008B4295" w:rsidRDefault="008B4295"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7C438B05" w14:textId="23642987" w:rsidR="008B4295" w:rsidRPr="008B4295" w:rsidRDefault="008B4295" w:rsidP="00BE164D">
            <w:pPr>
              <w:rPr>
                <w:color w:val="EE0000"/>
                <w:sz w:val="20"/>
                <w:szCs w:val="20"/>
              </w:rPr>
            </w:pPr>
            <w:r>
              <w:rPr>
                <w:sz w:val="20"/>
                <w:szCs w:val="20"/>
              </w:rPr>
              <w:t>BRDN</w:t>
            </w:r>
          </w:p>
        </w:tc>
      </w:tr>
      <w:tr w:rsidR="008B4295" w14:paraId="5544EDA1"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412062" w14:textId="505D0A1C" w:rsidR="008B4295" w:rsidRPr="008B4295" w:rsidRDefault="008B4295" w:rsidP="00BE164D">
            <w:pPr>
              <w:rPr>
                <w:color w:val="EE0000"/>
                <w:sz w:val="20"/>
                <w:szCs w:val="20"/>
              </w:rPr>
            </w:pPr>
            <w:r>
              <w:rPr>
                <w:color w:val="EE0000"/>
                <w:sz w:val="20"/>
                <w:szCs w:val="20"/>
              </w:rPr>
              <w:t>7</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844517" w14:textId="49738778" w:rsidR="008B4295" w:rsidRPr="008B4295" w:rsidRDefault="008B4295" w:rsidP="00BE164D">
            <w:pPr>
              <w:rPr>
                <w:color w:val="EE0000"/>
                <w:sz w:val="20"/>
                <w:szCs w:val="20"/>
              </w:rPr>
            </w:pPr>
            <w:r>
              <w:rPr>
                <w:color w:val="EE0000"/>
                <w:sz w:val="20"/>
                <w:szCs w:val="20"/>
              </w:rPr>
              <w:t>Splitter 1:4 1-18 ( 2 units)</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5B5600" w14:textId="77777777" w:rsidR="008B4295" w:rsidRPr="008B4295" w:rsidRDefault="008B4295" w:rsidP="00BE164D">
            <w:pPr>
              <w:rPr>
                <w:color w:val="EE0000"/>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16FF2541" w14:textId="1E280172" w:rsidR="008B4295" w:rsidRPr="008B4295" w:rsidRDefault="008B4295" w:rsidP="00BE164D">
            <w:pPr>
              <w:rPr>
                <w:color w:val="EE0000"/>
                <w:sz w:val="20"/>
                <w:szCs w:val="20"/>
              </w:rPr>
            </w:pPr>
            <w:r>
              <w:rPr>
                <w:color w:val="EE0000"/>
                <w:sz w:val="20"/>
                <w:szCs w:val="20"/>
              </w:rPr>
              <w:t>ELTA</w:t>
            </w:r>
          </w:p>
        </w:tc>
      </w:tr>
      <w:tr w:rsidR="008B4295" w14:paraId="1807B5C8"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579033" w14:textId="50F72734" w:rsidR="008B4295" w:rsidRPr="008B4295" w:rsidRDefault="008B4295" w:rsidP="00BE164D">
            <w:pPr>
              <w:rPr>
                <w:color w:val="EE0000"/>
                <w:sz w:val="20"/>
                <w:szCs w:val="20"/>
              </w:rPr>
            </w:pPr>
            <w:r>
              <w:rPr>
                <w:color w:val="EE0000"/>
                <w:sz w:val="20"/>
                <w:szCs w:val="20"/>
              </w:rPr>
              <w:t>8</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43B1AC" w14:textId="6616B6BE" w:rsidR="008B4295" w:rsidRPr="008B4295" w:rsidRDefault="008B4295" w:rsidP="00BE164D">
            <w:pPr>
              <w:rPr>
                <w:color w:val="EE0000"/>
                <w:sz w:val="20"/>
                <w:szCs w:val="20"/>
              </w:rPr>
            </w:pPr>
            <w:r>
              <w:rPr>
                <w:color w:val="EE0000"/>
                <w:sz w:val="20"/>
                <w:szCs w:val="20"/>
              </w:rPr>
              <w:t>Splitter 1:2 1-18 (1 unit)</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3CF5A" w14:textId="77777777" w:rsidR="008B4295" w:rsidRPr="008B4295" w:rsidRDefault="008B4295" w:rsidP="00BE164D">
            <w:pPr>
              <w:rPr>
                <w:color w:val="EE0000"/>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10368E8F" w14:textId="385DA835" w:rsidR="008B4295" w:rsidRPr="008B4295" w:rsidRDefault="008B4295" w:rsidP="00BE164D">
            <w:pPr>
              <w:rPr>
                <w:color w:val="EE0000"/>
                <w:sz w:val="20"/>
                <w:szCs w:val="20"/>
              </w:rPr>
            </w:pPr>
            <w:r>
              <w:rPr>
                <w:color w:val="EE0000"/>
                <w:sz w:val="20"/>
                <w:szCs w:val="20"/>
              </w:rPr>
              <w:t>ELTA</w:t>
            </w:r>
          </w:p>
        </w:tc>
      </w:tr>
      <w:tr w:rsidR="008B4295" w14:paraId="1CB36237"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D12A06" w14:textId="26C8559D" w:rsidR="008B4295" w:rsidRDefault="008B4295" w:rsidP="00BE164D">
            <w:pPr>
              <w:rPr>
                <w:sz w:val="20"/>
                <w:szCs w:val="20"/>
              </w:rPr>
            </w:pPr>
            <w:r>
              <w:rPr>
                <w:sz w:val="20"/>
                <w:szCs w:val="20"/>
              </w:rPr>
              <w:t xml:space="preserve">9 </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45D463" w14:textId="4F94C279" w:rsidR="008B4295" w:rsidRDefault="008B4295" w:rsidP="00BE164D">
            <w:pPr>
              <w:rPr>
                <w:sz w:val="20"/>
                <w:szCs w:val="20"/>
              </w:rPr>
            </w:pPr>
            <w:r>
              <w:rPr>
                <w:sz w:val="20"/>
                <w:szCs w:val="20"/>
              </w:rPr>
              <w:t>Set of cables phase match to connect sigGen to MOFC</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1BA3F" w14:textId="77777777" w:rsidR="008B4295" w:rsidRDefault="008B4295"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3F82EC63" w14:textId="1BE2E2B7" w:rsidR="008B4295" w:rsidRDefault="008B4295" w:rsidP="00BE164D">
            <w:pPr>
              <w:rPr>
                <w:sz w:val="20"/>
                <w:szCs w:val="20"/>
              </w:rPr>
            </w:pPr>
            <w:r>
              <w:rPr>
                <w:sz w:val="20"/>
                <w:szCs w:val="20"/>
              </w:rPr>
              <w:t>??</w:t>
            </w:r>
          </w:p>
        </w:tc>
      </w:tr>
      <w:tr w:rsidR="008B4295" w14:paraId="33C6BB14"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68B1EA" w14:textId="291208D2" w:rsidR="008B4295" w:rsidRDefault="008B4295" w:rsidP="00BE164D">
            <w:pPr>
              <w:rPr>
                <w:sz w:val="20"/>
                <w:szCs w:val="20"/>
              </w:rPr>
            </w:pPr>
            <w:r>
              <w:rPr>
                <w:sz w:val="20"/>
                <w:szCs w:val="20"/>
              </w:rPr>
              <w:t xml:space="preserve">10 </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7E02B9" w14:textId="5692F4CC" w:rsidR="008B4295" w:rsidRDefault="008B4295" w:rsidP="00BE164D">
            <w:pPr>
              <w:rPr>
                <w:sz w:val="20"/>
                <w:szCs w:val="20"/>
              </w:rPr>
            </w:pPr>
            <w:r>
              <w:rPr>
                <w:sz w:val="20"/>
                <w:szCs w:val="20"/>
              </w:rPr>
              <w:t xml:space="preserve">Adapter cable CSPIR to BRDN </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3B4D32" w14:textId="77777777" w:rsidR="008B4295" w:rsidRDefault="008B4295"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6D0D56C5" w14:textId="30315DC3" w:rsidR="008B4295" w:rsidRDefault="008B4295" w:rsidP="00BE164D">
            <w:pPr>
              <w:rPr>
                <w:sz w:val="20"/>
                <w:szCs w:val="20"/>
              </w:rPr>
            </w:pPr>
            <w:r>
              <w:rPr>
                <w:color w:val="EE0000"/>
                <w:sz w:val="20"/>
                <w:szCs w:val="20"/>
              </w:rPr>
              <w:t>ELTA</w:t>
            </w:r>
          </w:p>
        </w:tc>
      </w:tr>
      <w:tr w:rsidR="008B4295" w14:paraId="3F2F48A7"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EADF0" w14:textId="53F70E8F" w:rsidR="008B4295" w:rsidRPr="008B4295" w:rsidRDefault="008B4295" w:rsidP="00BE164D">
            <w:pPr>
              <w:rPr>
                <w:sz w:val="20"/>
                <w:szCs w:val="20"/>
              </w:rPr>
            </w:pPr>
            <w:r>
              <w:rPr>
                <w:sz w:val="20"/>
                <w:szCs w:val="20"/>
              </w:rPr>
              <w:t>11</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63D902" w14:textId="7F47AE42" w:rsidR="008B4295" w:rsidRPr="008B4295" w:rsidRDefault="008B4295" w:rsidP="00BE164D">
            <w:pPr>
              <w:rPr>
                <w:sz w:val="20"/>
                <w:szCs w:val="20"/>
              </w:rPr>
            </w:pPr>
            <w:r>
              <w:rPr>
                <w:sz w:val="20"/>
                <w:szCs w:val="20"/>
              </w:rPr>
              <w:t>Ethernet switch</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88EF48" w14:textId="77777777" w:rsidR="008B4295" w:rsidRPr="008B4295" w:rsidRDefault="008B4295"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5750508E" w14:textId="5B603FE4" w:rsidR="008B4295" w:rsidRPr="008B4295" w:rsidRDefault="008B4295" w:rsidP="00BE164D">
            <w:pPr>
              <w:rPr>
                <w:sz w:val="20"/>
                <w:szCs w:val="20"/>
              </w:rPr>
            </w:pPr>
            <w:r>
              <w:rPr>
                <w:sz w:val="20"/>
                <w:szCs w:val="20"/>
              </w:rPr>
              <w:t>ELTA</w:t>
            </w:r>
          </w:p>
        </w:tc>
      </w:tr>
      <w:tr w:rsidR="008B4295" w14:paraId="2389D4A9"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5A9AE" w14:textId="7224F89A" w:rsidR="008B4295" w:rsidRDefault="008B4295" w:rsidP="00BE164D">
            <w:pPr>
              <w:rPr>
                <w:sz w:val="20"/>
                <w:szCs w:val="20"/>
              </w:rPr>
            </w:pPr>
            <w:r>
              <w:rPr>
                <w:sz w:val="20"/>
                <w:szCs w:val="20"/>
              </w:rPr>
              <w:t>12</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7B780A" w14:textId="08D2ACEB" w:rsidR="008B4295" w:rsidRDefault="008B4295" w:rsidP="00BE164D">
            <w:pPr>
              <w:rPr>
                <w:sz w:val="20"/>
                <w:szCs w:val="20"/>
              </w:rPr>
            </w:pPr>
            <w:r>
              <w:rPr>
                <w:sz w:val="20"/>
                <w:szCs w:val="20"/>
              </w:rPr>
              <w:t>Power supply for TestJIG</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B8ECD3" w14:textId="28C28907" w:rsidR="008B4295" w:rsidRDefault="008B4295" w:rsidP="00BE164D">
            <w:pPr>
              <w:rPr>
                <w:sz w:val="20"/>
                <w:szCs w:val="20"/>
              </w:rPr>
            </w:pPr>
            <w:r>
              <w:rPr>
                <w:sz w:val="20"/>
                <w:szCs w:val="20"/>
              </w:rPr>
              <w:t>5V</w:t>
            </w: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266248A6" w14:textId="4D4E3C77" w:rsidR="008B4295" w:rsidRPr="008B4295" w:rsidRDefault="008B4295" w:rsidP="00BE164D">
            <w:pPr>
              <w:rPr>
                <w:color w:val="EE0000"/>
                <w:sz w:val="20"/>
                <w:szCs w:val="20"/>
              </w:rPr>
            </w:pPr>
            <w:r>
              <w:rPr>
                <w:color w:val="EE0000"/>
                <w:sz w:val="20"/>
                <w:szCs w:val="20"/>
              </w:rPr>
              <w:t>ELTA</w:t>
            </w:r>
          </w:p>
        </w:tc>
      </w:tr>
      <w:tr w:rsidR="008B4295" w14:paraId="46B16F59"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912994" w14:textId="77E3E27F" w:rsidR="008B4295" w:rsidRDefault="008B4295" w:rsidP="00BE164D">
            <w:pPr>
              <w:rPr>
                <w:sz w:val="20"/>
                <w:szCs w:val="20"/>
              </w:rPr>
            </w:pPr>
            <w:r>
              <w:rPr>
                <w:sz w:val="20"/>
                <w:szCs w:val="20"/>
              </w:rPr>
              <w:t>13</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4DF91" w14:textId="36765270" w:rsidR="008B4295" w:rsidRDefault="008B4295" w:rsidP="00BE164D">
            <w:pPr>
              <w:rPr>
                <w:sz w:val="20"/>
                <w:szCs w:val="20"/>
              </w:rPr>
            </w:pPr>
            <w:r>
              <w:rPr>
                <w:sz w:val="20"/>
                <w:szCs w:val="20"/>
              </w:rPr>
              <w:t>Power supply for CSPIR</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19E7D" w14:textId="6D593D8F" w:rsidR="008B4295" w:rsidRDefault="008B4295" w:rsidP="00BE164D">
            <w:pPr>
              <w:rPr>
                <w:sz w:val="20"/>
                <w:szCs w:val="20"/>
              </w:rPr>
            </w:pPr>
            <w:r>
              <w:rPr>
                <w:sz w:val="20"/>
                <w:szCs w:val="20"/>
              </w:rPr>
              <w:t>12V</w:t>
            </w: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2099C89A" w14:textId="77777777" w:rsidR="008B4295" w:rsidRPr="008B4295" w:rsidRDefault="008B4295" w:rsidP="00BE164D">
            <w:pPr>
              <w:rPr>
                <w:color w:val="EE0000"/>
                <w:sz w:val="20"/>
                <w:szCs w:val="20"/>
              </w:rPr>
            </w:pPr>
          </w:p>
        </w:tc>
      </w:tr>
      <w:tr w:rsidR="008B4295" w14:paraId="0C65E7AA"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DEB80B" w14:textId="72802F5B" w:rsidR="008B4295" w:rsidRDefault="008B4295" w:rsidP="00BE164D">
            <w:pPr>
              <w:rPr>
                <w:sz w:val="20"/>
                <w:szCs w:val="20"/>
              </w:rPr>
            </w:pPr>
            <w:r>
              <w:rPr>
                <w:sz w:val="20"/>
                <w:szCs w:val="20"/>
              </w:rPr>
              <w:t>14</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477968" w14:textId="167FF1B6" w:rsidR="008B4295" w:rsidRDefault="008B4295" w:rsidP="00BE164D">
            <w:pPr>
              <w:rPr>
                <w:sz w:val="20"/>
                <w:szCs w:val="20"/>
              </w:rPr>
            </w:pPr>
            <w:r>
              <w:rPr>
                <w:sz w:val="20"/>
                <w:szCs w:val="20"/>
              </w:rPr>
              <w:t>Power supply for MOFC</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09448C" w14:textId="2C1A3114" w:rsidR="008B4295" w:rsidRDefault="008B4295" w:rsidP="00BE164D">
            <w:pPr>
              <w:rPr>
                <w:sz w:val="20"/>
                <w:szCs w:val="20"/>
              </w:rPr>
            </w:pPr>
            <w:r>
              <w:rPr>
                <w:sz w:val="20"/>
                <w:szCs w:val="20"/>
              </w:rPr>
              <w:t>28V</w:t>
            </w: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2E97B0C9" w14:textId="4F0B9D72" w:rsidR="008B4295" w:rsidRPr="008B4295" w:rsidRDefault="008B4295" w:rsidP="00BE164D">
            <w:pPr>
              <w:rPr>
                <w:color w:val="EE0000"/>
                <w:sz w:val="20"/>
                <w:szCs w:val="20"/>
              </w:rPr>
            </w:pPr>
            <w:r>
              <w:rPr>
                <w:color w:val="EE0000"/>
                <w:sz w:val="20"/>
                <w:szCs w:val="20"/>
              </w:rPr>
              <w:t>ELTA</w:t>
            </w:r>
          </w:p>
        </w:tc>
      </w:tr>
    </w:tbl>
    <w:p w14:paraId="5A4EBFEB" w14:textId="33C37DE8" w:rsidR="00A4296E" w:rsidRDefault="00A4296E">
      <w:pPr>
        <w:spacing w:after="80"/>
      </w:pPr>
    </w:p>
    <w:p w14:paraId="16A84DF8" w14:textId="67C518DE" w:rsidR="00ED2D39" w:rsidRDefault="00ED2D39" w:rsidP="00373F2E">
      <w:pPr>
        <w:pStyle w:val="Heading2"/>
      </w:pPr>
      <w:bookmarkStart w:id="4" w:name="_Toc230703801"/>
      <w:r>
        <w:t>Software capabilities for integration</w:t>
      </w:r>
      <w:bookmarkEnd w:id="4"/>
    </w:p>
    <w:p w14:paraId="51C3E807" w14:textId="77777777" w:rsidR="00ED2D39" w:rsidRDefault="00ED2D39" w:rsidP="00ED2D39">
      <w:pPr>
        <w:pStyle w:val="ListParagraph"/>
        <w:numPr>
          <w:ilvl w:val="0"/>
          <w:numId w:val="7"/>
        </w:numPr>
        <w:spacing w:after="100"/>
      </w:pPr>
      <w:r>
        <w:t>BRDN test jig application for MOFC assignment</w:t>
      </w:r>
    </w:p>
    <w:p w14:paraId="63A93293" w14:textId="77777777" w:rsidR="00ED2D39" w:rsidRDefault="00ED2D39" w:rsidP="00ED2D39">
      <w:pPr>
        <w:pStyle w:val="ListParagraph"/>
        <w:numPr>
          <w:ilvl w:val="0"/>
          <w:numId w:val="7"/>
        </w:numPr>
        <w:spacing w:after="100"/>
      </w:pPr>
      <w:r>
        <w:t>Engineering Test-GUI at CSPIR for MOFC assignment</w:t>
      </w:r>
    </w:p>
    <w:p w14:paraId="6D063007" w14:textId="77777777" w:rsidR="00ED2D39" w:rsidRDefault="00ED2D39" w:rsidP="00ED2D39">
      <w:pPr>
        <w:pStyle w:val="ListParagraph"/>
        <w:numPr>
          <w:ilvl w:val="0"/>
          <w:numId w:val="7"/>
        </w:numPr>
        <w:spacing w:after="100"/>
      </w:pPr>
      <w:r>
        <w:t>Scan table and Scan regime support for MOFC assignments</w:t>
      </w:r>
    </w:p>
    <w:p w14:paraId="216D7BB3" w14:textId="77777777" w:rsidR="00ED2D39" w:rsidRDefault="00ED2D39" w:rsidP="00ED2D39">
      <w:pPr>
        <w:pStyle w:val="ListParagraph"/>
        <w:numPr>
          <w:ilvl w:val="0"/>
          <w:numId w:val="7"/>
        </w:numPr>
        <w:spacing w:after="100"/>
      </w:pPr>
      <w:r>
        <w:t xml:space="preserve">Automation of Running Tests, and saving PDW, and Samples (FFT/ADC) </w:t>
      </w:r>
    </w:p>
    <w:p w14:paraId="5E4208C6" w14:textId="76A524CF" w:rsidR="00122889" w:rsidRPr="00122889" w:rsidRDefault="00122889" w:rsidP="00122889">
      <w:pPr>
        <w:rPr>
          <w:rFonts w:ascii="Times New Roman" w:eastAsia="Times New Roman" w:hAnsi="Times New Roman" w:cs="Times New Roman"/>
          <w:sz w:val="24"/>
          <w:szCs w:val="24"/>
        </w:rPr>
      </w:pPr>
    </w:p>
    <w:p w14:paraId="6DEA1FB6" w14:textId="77777777" w:rsidR="00A4296E" w:rsidRDefault="00A4296E">
      <w:pPr>
        <w:spacing w:after="80"/>
      </w:pPr>
    </w:p>
    <w:p w14:paraId="50224B49" w14:textId="77777777" w:rsidR="00A4296E" w:rsidRDefault="00A4296E">
      <w:pPr>
        <w:spacing w:after="80"/>
      </w:pPr>
    </w:p>
    <w:p w14:paraId="4EAF03F7" w14:textId="5185845D" w:rsidR="00A4296E" w:rsidRDefault="00000000">
      <w:pPr>
        <w:pStyle w:val="Heading2"/>
      </w:pPr>
      <w:bookmarkStart w:id="5" w:name="_Toc230703802"/>
      <w:r>
        <w:t>Integration phases</w:t>
      </w:r>
      <w:bookmarkEnd w:id="5"/>
    </w:p>
    <w:p>
      <w:pPr>
        <w:pStyle w:val="Heading3"/>
      </w:pPr>
      <w:r>
        <w:t xml:space="preserve">Phase 0: Pre-Integration Preparation</w:t>
      </w:r>
    </w:p>
    <w:p>
      <w:pPr>
        <w:spacing w:after="80"/>
      </w:pPr>
      <w:r>
        <w:t xml:space="preserve">Before beginning any integration activity, verify that all hardware, software, and lab infrastructure are ready. This phase must be completed and signed off before proceeding to Phase 1.</w:t>
      </w:r>
    </w:p>
    <w:p>
      <w:pPr>
        <w:pStyle w:val="Heading3"/>
      </w:pPr>
      <w:r>
        <w:t xml:space="preserve">0.1  Lab and Equipment Readiness Check</w:t>
      </w:r>
    </w:p>
    <w:p>
      <w:pPr>
        <w:pStyle w:val="ListParagraph"/>
        <w:numPr>
          <w:ilvl w:val="0"/>
          <w:numId w:val="5"/>
        </w:numPr>
        <w:spacing w:after="60"/>
      </w:pPr>
      <w:r>
        <w:t xml:space="preserve">Confirm all items in the Test Accessory list (Section 1.4) are present, undamaged, and within calibration.</w:t>
      </w:r>
    </w:p>
    <w:p>
      <w:pPr>
        <w:pStyle w:val="ListParagraph"/>
        <w:numPr>
          <w:ilvl w:val="0"/>
          <w:numId w:val="5"/>
        </w:numPr>
        <w:spacing w:after="60"/>
      </w:pPr>
      <w:r>
        <w:t xml:space="preserve">Verify power supplies are set to correct voltages before connecting to any unit: MOFC 28 V, CSPIR 12 V, TestJIG 5 V.</w:t>
      </w:r>
    </w:p>
    <w:p>
      <w:pPr>
        <w:pStyle w:val="ListParagraph"/>
        <w:numPr>
          <w:ilvl w:val="0"/>
          <w:numId w:val="5"/>
        </w:numPr>
        <w:spacing w:after="60"/>
      </w:pPr>
      <w:r>
        <w:t xml:space="preserve">Confirm the signal generator is calibrated and capable of injecting CW and pulsed signals from 0.3 to 20 GHz at power levels between –90 and +20 dBm.</w:t>
      </w:r>
    </w:p>
    <w:p>
      <w:pPr>
        <w:pStyle w:val="ListParagraph"/>
        <w:numPr>
          <w:ilvl w:val="0"/>
          <w:numId w:val="5"/>
        </w:numPr>
        <w:spacing w:after="60"/>
      </w:pPr>
      <w:r>
        <w:t xml:space="preserve">Install the BRDN MOFC TestJig application on the integration PC. Confirm the UART-to-SPI JIG (P/N 3010P101-003) is enumerated on the correct COM port.</w:t>
      </w:r>
    </w:p>
    <w:p>
      <w:pPr>
        <w:pStyle w:val="ListParagraph"/>
        <w:numPr>
          <w:ilvl w:val="0"/>
          <w:numId w:val="5"/>
        </w:numPr>
        <w:spacing w:after="60"/>
      </w:pPr>
      <w:r>
        <w:t xml:space="preserve">Verify Ethernet connectivity to the CSPIR. Confirm the Linux OS boots without error and the Engineering Test-GUI launches and is reachable.</w:t>
      </w:r>
    </w:p>
    <w:p>
      <w:pPr>
        <w:pStyle w:val="ListParagraph"/>
        <w:numPr>
          <w:ilvl w:val="0"/>
          <w:numId w:val="5"/>
        </w:numPr>
        <w:spacing w:after="60"/>
      </w:pPr>
      <w:r>
        <w:t xml:space="preserve">Inspect all phase-matched IF cables (MOFC-to-CSPIR). Verify connector integrity and note cable serial numbers in the integration log.</w:t>
      </w:r>
    </w:p>
    <w:p>
      <w:pPr>
        <w:pStyle w:val="Heading3"/>
      </w:pPr>
      <w:r>
        <w:t xml:space="preserve">0.2  MOFC Standalone Smoke Test (via BRDN TestJig)</w:t>
      </w:r>
    </w:p>
    <w:p>
      <w:pPr>
        <w:spacing w:after="80"/>
      </w:pPr>
      <w:r>
        <w:t xml:space="preserve">Verify basic MOFC functionality in isolation before connecting it to the CSPIR.</w:t>
      </w:r>
    </w:p>
    <w:p>
      <w:pPr>
        <w:pStyle w:val="ListParagraph"/>
        <w:numPr>
          <w:ilvl w:val="0"/>
          <w:numId w:val="5"/>
        </w:numPr>
        <w:spacing w:after="60"/>
      </w:pPr>
      <w:r>
        <w:t xml:space="preserve">Apply 28 V to MOFC. Confirm current draw is within the specified nominal range and no fault indicators are active.</w:t>
      </w:r>
    </w:p>
    <w:p>
      <w:pPr>
        <w:pStyle w:val="ListParagraph"/>
        <w:numPr>
          <w:ilvl w:val="0"/>
          <w:numId w:val="5"/>
        </w:numPr>
        <w:spacing w:after="60"/>
      </w:pPr>
      <w:r>
        <w:t xml:space="preserve">Apply the 10 MHz reference signal. Using the BRDN TestJig, confirm the MOFC PLL lock indicator is asserted within the specified lock time.</w:t>
      </w:r>
    </w:p>
    <w:p>
      <w:pPr>
        <w:pStyle w:val="ListParagraph"/>
        <w:numPr>
          <w:ilvl w:val="0"/>
          <w:numId w:val="5"/>
        </w:numPr>
        <w:spacing w:after="60"/>
      </w:pPr>
      <w:r>
        <w:t xml:space="preserve">Read MOFC identification and firmware-version registers via the TestJig; record values in the integration log.</w:t>
      </w:r>
    </w:p>
    <w:p>
      <w:pPr>
        <w:pStyle w:val="ListParagraph"/>
        <w:numPr>
          <w:ilvl w:val="0"/>
          <w:numId w:val="5"/>
        </w:numPr>
        <w:spacing w:after="60"/>
      </w:pPr>
      <w:r>
        <w:t xml:space="preserve">Write a known frequency and attenuation setting to each of the 8 channels in turn and read back; verify all register values match the written values.</w:t>
      </w:r>
    </w:p>
    <w:p>
      <w:pPr>
        <w:pStyle w:val="ListParagraph"/>
        <w:numPr>
          <w:ilvl w:val="0"/>
          <w:numId w:val="5"/>
        </w:numPr>
        <w:spacing w:after="60"/>
      </w:pPr>
      <w:r>
        <w:t xml:space="preserve">Read MOFC temperature and power-status registers; confirm all values are within nominal limits at ambient temperature.</w:t>
      </w:r>
    </w:p>
    <w:p>
      <w:pPr>
        <w:pStyle w:val="ListParagraph"/>
        <w:numPr>
          <w:ilvl w:val="0"/>
          <w:numId w:val="5"/>
        </w:numPr>
        <w:spacing w:after="60"/>
      </w:pPr>
      <w:r>
        <w:t xml:space="preserve">Issue a soft-reset command via the TestJig; verify the MOFC re-initialises and all registers return to their documented default values.</w:t>
      </w:r>
    </w:p>
    <w:p>
      <w:pPr>
        <w:pStyle w:val="Heading3"/>
      </w:pPr>
      <w:r>
        <w:t xml:space="preserve">Phase 1: CSPIR–MOFC Digital Interface Verification</w:t>
      </w:r>
    </w:p>
    <w:p>
      <w:pPr>
        <w:spacing w:after="80"/>
      </w:pPr>
      <w:r>
        <w:t xml:space="preserve">Verify the complete digital control interface between the CSPIR and MOFC. All sub-tests in this phase must achieve a PASS result before any RF testing begins.</w:t>
      </w:r>
    </w:p>
    <w:p>
      <w:pPr>
        <w:pStyle w:val="Heading3"/>
      </w:pPr>
      <w:r>
        <w:t xml:space="preserve">1.1  Register Read / Write and Status Polling</w:t>
      </w:r>
    </w:p>
    <w:p>
      <w:pPr>
        <w:pStyle w:val="ListParagraph"/>
        <w:numPr>
          <w:ilvl w:val="0"/>
          <w:numId w:val="5"/>
        </w:numPr>
        <w:spacing w:after="60"/>
      </w:pPr>
      <w:r>
        <w:t xml:space="preserve">From the CSPIR Engineering Test-GUI, write a known data pattern to every writable MOFC control register and immediately read back. Verify zero mismatches across all registers.</w:t>
      </w:r>
    </w:p>
    <w:p>
      <w:pPr>
        <w:pStyle w:val="ListParagraph"/>
        <w:numPr>
          <w:ilvl w:val="0"/>
          <w:numId w:val="5"/>
        </w:numPr>
        <w:spacing w:after="60"/>
      </w:pPr>
      <w:r>
        <w:t xml:space="preserve">Read the MOFC temperature register; confirm the reported value is physically plausible (expected 20–60°C at ambient conditions).</w:t>
      </w:r>
    </w:p>
    <w:p>
      <w:pPr>
        <w:pStyle w:val="ListParagraph"/>
        <w:numPr>
          <w:ilvl w:val="0"/>
          <w:numId w:val="5"/>
        </w:numPr>
        <w:spacing w:after="60"/>
      </w:pPr>
      <w:r>
        <w:t xml:space="preserve">Poll all MOFC status and fault registers at idle; confirm no fault flags are asserted.</w:t>
      </w:r>
    </w:p>
    <w:p>
      <w:pPr>
        <w:pStyle w:val="ListParagraph"/>
        <w:numPr>
          <w:ilvl w:val="0"/>
          <w:numId w:val="5"/>
        </w:numPr>
        <w:spacing w:after="60"/>
      </w:pPr>
      <w:r>
        <w:t xml:space="preserve">Document baseline register values in the integration log for comparison during later phases.</w:t>
      </w:r>
    </w:p>
    <w:p>
      <w:pPr>
        <w:pStyle w:val="Heading3"/>
      </w:pPr>
      <w:r>
        <w:t xml:space="preserve">1.2  RDY Signal Timing and MOFC Stabilisation</w:t>
      </w:r>
    </w:p>
    <w:p>
      <w:pPr>
        <w:pStyle w:val="ListParagraph"/>
        <w:numPr>
          <w:ilvl w:val="0"/>
          <w:numId w:val="5"/>
        </w:numPr>
        <w:spacing w:after="60"/>
      </w:pPr>
      <w:r>
        <w:t xml:space="preserve">Connect an oscilloscope or logic analyser to the MOFC RDY line. Power-cycle the MOFC and measure the elapsed time from supply-voltage crossing 90% to RDY assertion.</w:t>
      </w:r>
    </w:p>
    <w:p>
      <w:pPr>
        <w:pStyle w:val="ListParagraph"/>
        <w:numPr>
          <w:ilvl w:val="0"/>
          <w:numId w:val="5"/>
        </w:numPr>
        <w:spacing w:after="60"/>
      </w:pPr>
      <w:r>
        <w:t xml:space="preserve">Repeat the measurement five times; record minimum, maximum, and mean stabilisation time. Confirm all values are within the datasheet specification.</w:t>
      </w:r>
    </w:p>
    <w:p>
      <w:pPr>
        <w:pStyle w:val="ListParagraph"/>
        <w:numPr>
          <w:ilvl w:val="0"/>
          <w:numId w:val="5"/>
        </w:numPr>
        <w:spacing w:after="60"/>
      </w:pPr>
      <w:r>
        <w:t xml:space="preserve">Verify in the CSPIR firmware that no MOFC command is issued until RDY is asserted after every power-on or reset event.</w:t>
      </w:r>
    </w:p>
    <w:p>
      <w:pPr>
        <w:pStyle w:val="Heading3"/>
      </w:pPr>
      <w:r>
        <w:t xml:space="preserve">1.3  Checksum (CHKSUM) Integrity</w:t>
      </w:r>
    </w:p>
    <w:p>
      <w:pPr>
        <w:pStyle w:val="ListParagraph"/>
        <w:numPr>
          <w:ilvl w:val="0"/>
          <w:numId w:val="5"/>
        </w:numPr>
        <w:spacing w:after="60"/>
      </w:pPr>
      <w:r>
        <w:t xml:space="preserve">Transmit a correctly formed command frame from CSPIR to MOFC; confirm the MOFC acknowledges without asserting a CHKSUM error flag.</w:t>
      </w:r>
    </w:p>
    <w:p>
      <w:pPr>
        <w:pStyle w:val="ListParagraph"/>
        <w:numPr>
          <w:ilvl w:val="0"/>
          <w:numId w:val="5"/>
        </w:numPr>
        <w:spacing w:after="60"/>
      </w:pPr>
      <w:r>
        <w:t xml:space="preserve">Deliberately corrupt the checksum byte of a command frame; confirm the MOFC asserts the CHKSUM error flag and discards the frame without altering any register state.</w:t>
      </w:r>
    </w:p>
    <w:p>
      <w:pPr>
        <w:pStyle w:val="ListParagraph"/>
        <w:numPr>
          <w:ilvl w:val="0"/>
          <w:numId w:val="5"/>
        </w:numPr>
        <w:spacing w:after="60"/>
      </w:pPr>
      <w:r>
        <w:t xml:space="preserve">After the CHKSUM error, transmit a valid frame and confirm normal operation is restored; verify the error flag clears correctly.</w:t>
      </w:r>
    </w:p>
    <w:p>
      <w:pPr>
        <w:pStyle w:val="Heading3"/>
      </w:pPr>
      <w:r>
        <w:t xml:space="preserve">1.4  Reset Command Behaviour</w:t>
      </w:r>
    </w:p>
    <w:p>
      <w:pPr>
        <w:pStyle w:val="ListParagraph"/>
        <w:numPr>
          <w:ilvl w:val="0"/>
          <w:numId w:val="5"/>
        </w:numPr>
        <w:spacing w:after="60"/>
      </w:pPr>
      <w:r>
        <w:t xml:space="preserve">Issue a software Reset command from the CSPIR to the MOFC via the Engineering Test-GUI. Observe that RDY de-asserts, the MOFC re-initialises, and RDY re-asserts within the specified stabilisation time.</w:t>
      </w:r>
    </w:p>
    <w:p>
      <w:pPr>
        <w:pStyle w:val="ListParagraph"/>
        <w:numPr>
          <w:ilvl w:val="0"/>
          <w:numId w:val="5"/>
        </w:numPr>
        <w:spacing w:after="60"/>
      </w:pPr>
      <w:r>
        <w:t xml:space="preserve">After reset, re-read all MOFC registers and verify they have returned to their documented default / power-on values.</w:t>
      </w:r>
    </w:p>
    <w:p>
      <w:pPr>
        <w:pStyle w:val="ListParagraph"/>
        <w:numPr>
          <w:ilvl w:val="0"/>
          <w:numId w:val="5"/>
        </w:numPr>
        <w:spacing w:after="60"/>
      </w:pPr>
      <w:r>
        <w:t xml:space="preserve">Issue the reset command three times consecutively; confirm consistent and repeatable behaviour on every cycle.</w:t>
      </w:r>
    </w:p>
    <w:p>
      <w:pPr>
        <w:pStyle w:val="Heading3"/>
      </w:pPr>
      <w:r>
        <w:t xml:space="preserve">1.5  Power Status Indication</w:t>
      </w:r>
    </w:p>
    <w:p>
      <w:pPr>
        <w:pStyle w:val="ListParagraph"/>
        <w:numPr>
          <w:ilvl w:val="0"/>
          <w:numId w:val="5"/>
        </w:numPr>
        <w:spacing w:after="60"/>
      </w:pPr>
      <w:r>
        <w:t xml:space="preserve">With the MOFC powered and healthy, read the PowerStatus register in the CSPIR; confirm it reflects the ‘power good’ state.</w:t>
      </w:r>
    </w:p>
    <w:p>
      <w:pPr>
        <w:pStyle w:val="ListParagraph"/>
        <w:numPr>
          <w:ilvl w:val="0"/>
          <w:numId w:val="5"/>
        </w:numPr>
        <w:spacing w:after="60"/>
      </w:pPr>
      <w:r>
        <w:t xml:space="preserve">Reduce the MOFC supply voltage below the specified under-voltage threshold (if safe to do so); confirm the CSPIR PowerStatus register reflects a fault condition within the specified detection latency.</w:t>
      </w:r>
    </w:p>
    <w:p>
      <w:pPr>
        <w:pStyle w:val="ListParagraph"/>
        <w:numPr>
          <w:ilvl w:val="0"/>
          <w:numId w:val="5"/>
        </w:numPr>
        <w:spacing w:after="60"/>
      </w:pPr>
      <w:r>
        <w:t xml:space="preserve">Restore the supply voltage; confirm PowerStatus returns to ‘power good’ and the system recovers without requiring a manual reset.</w:t>
      </w:r>
    </w:p>
    <w:p>
      <w:pPr>
        <w:pStyle w:val="Heading3"/>
      </w:pPr>
      <w:r>
        <w:t xml:space="preserve">Phase 2: ADC Reference Clock Verification</w:t>
      </w:r>
    </w:p>
    <w:p>
      <w:pPr>
        <w:spacing w:after="80"/>
      </w:pPr>
      <w:r>
        <w:t xml:space="preserve">Verify that the MOFC generates a stable, low-phase-noise 5 GHz sampling clock for the CSPIR ADC, correctly derived from the 10 MHz external reference input.</w:t>
      </w:r>
    </w:p>
    <w:p>
      <w:pPr>
        <w:pStyle w:val="ListParagraph"/>
        <w:numPr>
          <w:ilvl w:val="0"/>
          <w:numId w:val="5"/>
        </w:numPr>
        <w:spacing w:after="60"/>
      </w:pPr>
      <w:r>
        <w:t xml:space="preserve">Connect a spectrum analyser or phase-noise analyser to the ADC clock output on the CSPIR. Confirm the clock frequency is 5.000 GHz within the specified tolerance.</w:t>
      </w:r>
    </w:p>
    <w:p>
      <w:pPr>
        <w:pStyle w:val="ListParagraph"/>
        <w:numPr>
          <w:ilvl w:val="0"/>
          <w:numId w:val="5"/>
        </w:numPr>
        <w:spacing w:after="60"/>
      </w:pPr>
      <w:r>
        <w:t xml:space="preserve">Measure single-sideband phase noise at offsets of 1 kHz, 10 kHz, 100 kHz, and 1 MHz; verify each value is within the specified limit.</w:t>
      </w:r>
    </w:p>
    <w:p>
      <w:pPr>
        <w:pStyle w:val="ListParagraph"/>
        <w:numPr>
          <w:ilvl w:val="0"/>
          <w:numId w:val="5"/>
        </w:numPr>
        <w:spacing w:after="60"/>
      </w:pPr>
      <w:r>
        <w:t xml:space="preserve">From the CSPIR Engineering Test-GUI, trigger a short ADC capture with no RF input. Confirm the CSPIR reports no clock-loss, PLL unlock, or ADC overrange errors.</w:t>
      </w:r>
    </w:p>
    <w:p>
      <w:pPr>
        <w:pStyle w:val="ListParagraph"/>
        <w:numPr>
          <w:ilvl w:val="0"/>
          <w:numId w:val="5"/>
        </w:numPr>
        <w:spacing w:after="60"/>
      </w:pPr>
      <w:r>
        <w:t xml:space="preserve">Remove the 10 MHz external reference. Confirm the CSPIR asserts a clock-fault alarm within the specified detection time. Restore the reference and confirm automatic lock recovery.</w:t>
      </w:r>
    </w:p>
    <w:p>
      <w:pPr>
        <w:pStyle w:val="ListParagraph"/>
        <w:numPr>
          <w:ilvl w:val="0"/>
          <w:numId w:val="5"/>
        </w:numPr>
        <w:spacing w:after="60"/>
      </w:pPr>
      <w:r>
        <w:t xml:space="preserve">Record clock frequency, phase noise, and lock-recovery time in the integration log.</w:t>
      </w:r>
    </w:p>
    <w:p>
      <w:pPr>
        <w:pStyle w:val="Heading3"/>
      </w:pPr>
      <w:r>
        <w:t xml:space="preserve">Phase 3: Internal BIT Verification</w:t>
      </w:r>
    </w:p>
    <w:p>
      <w:pPr>
        <w:spacing w:after="80"/>
      </w:pPr>
      <w:r>
        <w:t xml:space="preserve">Verify the MOFC Built-In Test unit in Internal BIT mode before exposing the system to external RF signals. Internal BIT exercises the conversion chain using the on-board signal source with no external cabling required.</w:t>
      </w:r>
    </w:p>
    <w:p>
      <w:pPr>
        <w:pStyle w:val="ListParagraph"/>
        <w:numPr>
          <w:ilvl w:val="0"/>
          <w:numId w:val="5"/>
        </w:numPr>
        <w:spacing w:after="60"/>
      </w:pPr>
      <w:r>
        <w:t xml:space="preserve">Enable Internal BIT via the CSPIR Engineering Test-GUI. Confirm the MOFC asserts its BIT-active status flag.</w:t>
      </w:r>
    </w:p>
    <w:p>
      <w:pPr>
        <w:pStyle w:val="ListParagraph"/>
        <w:numPr>
          <w:ilvl w:val="0"/>
          <w:numId w:val="5"/>
        </w:numPr>
        <w:spacing w:after="60"/>
      </w:pPr>
      <w:r>
        <w:t xml:space="preserve">For each of the 8 channels, command the MOFC to output the Internal BIT CW tone and verify the CSPIR ADC detects a signal at the expected IF frequency.</w:t>
      </w:r>
    </w:p>
    <w:p>
      <w:pPr>
        <w:pStyle w:val="ListParagraph"/>
        <w:numPr>
          <w:ilvl w:val="0"/>
          <w:numId w:val="5"/>
        </w:numPr>
        <w:spacing w:after="60"/>
      </w:pPr>
      <w:r>
        <w:t xml:space="preserve">Command the BIT attenuator through its full range (0 to 31.5 dB) in 1 dB steps for one representative channel; verify the CSPIR-reported power decreases monotonically and tracks the expected value within ± 1 dB.</w:t>
      </w:r>
    </w:p>
    <w:p>
      <w:pPr>
        <w:pStyle w:val="ListParagraph"/>
        <w:numPr>
          <w:ilvl w:val="0"/>
          <w:numId w:val="5"/>
        </w:numPr>
        <w:spacing w:after="60"/>
      </w:pPr>
      <w:r>
        <w:t xml:space="preserve">Switch to Internal BIT pulse mode; confirm the CSPIR generates valid PDW outputs with non-zero Power, Pulse Width, and TOA fields.</w:t>
      </w:r>
    </w:p>
    <w:p>
      <w:pPr>
        <w:pStyle w:val="ListParagraph"/>
        <w:numPr>
          <w:ilvl w:val="0"/>
          <w:numId w:val="5"/>
        </w:numPr>
        <w:spacing w:after="60"/>
      </w:pPr>
      <w:r>
        <w:t xml:space="preserve">Disable Internal BIT and confirm the BIT-active flag de-asserts and no spurious PDWs are generated.</w:t>
      </w:r>
    </w:p>
    <w:p>
      <w:pPr>
        <w:pStyle w:val="Heading3"/>
      </w:pPr>
      <w:r>
        <w:t xml:space="preserve">Phase 4: External BIT Verification and Power Calibration</w:t>
      </w:r>
    </w:p>
    <w:p>
      <w:pPr>
        <w:spacing w:after="80"/>
      </w:pPr>
      <w:r>
        <w:t xml:space="preserve">Verify the MOFC BIT unit in External BIT mode across the full supported amplitude range and both CW and pulsed operating modes. Characterise BIT-injected spurious products.</w:t>
      </w:r>
    </w:p>
    <w:p>
      <w:pPr>
        <w:pStyle w:val="Heading3"/>
      </w:pPr>
      <w:r>
        <w:t xml:space="preserve">4.1  BIT Power Level Accuracy</w:t>
      </w:r>
    </w:p>
    <w:p>
      <w:pPr>
        <w:pStyle w:val="ListParagraph"/>
        <w:numPr>
          <w:ilvl w:val="0"/>
          <w:numId w:val="5"/>
        </w:numPr>
        <w:spacing w:after="60"/>
      </w:pPr>
      <w:r>
        <w:t xml:space="preserve">Enable External BIT in CW mode. Step the commanded BIT output power from –80 dBm to –30 dBm in 5 dB increments. At each step, measure the actual power at the MOFC RF output with a calibrated power meter and record the deviation from the commanded level.</w:t>
      </w:r>
    </w:p>
    <w:p>
      <w:pPr>
        <w:pStyle w:val="ListParagraph"/>
        <w:numPr>
          <w:ilvl w:val="0"/>
          <w:numId w:val="5"/>
        </w:numPr>
        <w:spacing w:after="60"/>
      </w:pPr>
      <w:r>
        <w:t xml:space="preserve">Repeat the power sweep for the Direct, 2–6 GHz, and 6–18 GHz conversion paths; verify power accuracy is within the specified tolerance across the full operating spectrum.</w:t>
      </w:r>
    </w:p>
    <w:p>
      <w:pPr>
        <w:pStyle w:val="ListParagraph"/>
        <w:numPr>
          <w:ilvl w:val="0"/>
          <w:numId w:val="5"/>
        </w:numPr>
        <w:spacing w:after="60"/>
      </w:pPr>
      <w:r>
        <w:t xml:space="preserve">Document any channels or frequency sub-bands requiring a correction offset; flag for use in Phase 5 gain calibration.</w:t>
      </w:r>
    </w:p>
    <w:p>
      <w:pPr>
        <w:pStyle w:val="Heading3"/>
      </w:pPr>
      <w:r>
        <w:t xml:space="preserve">4.2  BIT CW Mode Verification</w:t>
      </w:r>
    </w:p>
    <w:p>
      <w:pPr>
        <w:pStyle w:val="ListParagraph"/>
        <w:numPr>
          <w:ilvl w:val="0"/>
          <w:numId w:val="5"/>
        </w:numPr>
        <w:spacing w:after="60"/>
      </w:pPr>
      <w:r>
        <w:t xml:space="preserve">Set BIT to CW mode and inject through each MOFC channel into the CSPIR. Verify the CSPIR detects and reports the correct frequency and power in the PDW output for every channel.</w:t>
      </w:r>
    </w:p>
    <w:p>
      <w:pPr>
        <w:pStyle w:val="ListParagraph"/>
        <w:numPr>
          <w:ilvl w:val="0"/>
          <w:numId w:val="5"/>
        </w:numPr>
        <w:spacing w:after="60"/>
      </w:pPr>
      <w:r>
        <w:t xml:space="preserve">Vary the BIT frequency across the supported range within each conversion path; confirm the CSPIR-reported frequency tracks the commanded value within the specified frequency accuracy.</w:t>
      </w:r>
    </w:p>
    <w:p>
      <w:pPr>
        <w:pStyle w:val="Heading3"/>
      </w:pPr>
      <w:r>
        <w:t xml:space="preserve">4.3  BIT Pulse Mode Verification</w:t>
      </w:r>
    </w:p>
    <w:p>
      <w:pPr>
        <w:pStyle w:val="ListParagraph"/>
        <w:numPr>
          <w:ilvl w:val="0"/>
          <w:numId w:val="5"/>
        </w:numPr>
        <w:spacing w:after="60"/>
      </w:pPr>
      <w:r>
        <w:t xml:space="preserve">Switch BIT to pulse mode. Configure a representative pulse width and PRI. Verify the PDW output reports correct Pulse Width, TOA, Power, Frequency, Phase, and DPHASE for each channel.</w:t>
      </w:r>
    </w:p>
    <w:p>
      <w:pPr>
        <w:pStyle w:val="ListParagraph"/>
        <w:numPr>
          <w:ilvl w:val="0"/>
          <w:numId w:val="5"/>
        </w:numPr>
        <w:spacing w:after="60"/>
      </w:pPr>
      <w:r>
        <w:t xml:space="preserve">Sweep the pulse width from the minimum to the maximum supported value; confirm the PDW Pulse Width field tracks the commanded value within the specified measurement error.</w:t>
      </w:r>
    </w:p>
    <w:p>
      <w:pPr>
        <w:pStyle w:val="ListParagraph"/>
        <w:numPr>
          <w:ilvl w:val="0"/>
          <w:numId w:val="5"/>
        </w:numPr>
        <w:spacing w:after="60"/>
      </w:pPr>
      <w:r>
        <w:t xml:space="preserve">Verify the TOA field increments correctly between successive pulses at the programmed PRI; confirm the TOA error is within specification.</w:t>
      </w:r>
    </w:p>
    <w:p>
      <w:pPr>
        <w:pStyle w:val="Heading3"/>
      </w:pPr>
      <w:r>
        <w:t xml:space="preserve">4.4  BIT Spurious Emission Characterisation</w:t>
      </w:r>
    </w:p>
    <w:p>
      <w:pPr>
        <w:pStyle w:val="ListParagraph"/>
        <w:numPr>
          <w:ilvl w:val="0"/>
          <w:numId w:val="5"/>
        </w:numPr>
        <w:spacing w:after="60"/>
      </w:pPr>
      <w:r>
        <w:t xml:space="preserve">With External BIT active in CW mode at mid-range power (–55 dBm), capture a wideband FFT from the CSPIR ADC. Identify all spectral peaks that exceed –80 dBm at the ADC input and record their frequency and amplitude.</w:t>
      </w:r>
    </w:p>
    <w:p>
      <w:pPr>
        <w:pStyle w:val="ListParagraph"/>
        <w:numPr>
          <w:ilvl w:val="0"/>
          <w:numId w:val="5"/>
        </w:numPr>
        <w:spacing w:after="60"/>
      </w:pPr>
      <w:r>
        <w:t xml:space="preserve">Verify all identified BIT-generated spurs fall below the specified rejection threshold. Flag any spurs exceeding the threshold for investigation and root-cause analysis.</w:t>
      </w:r>
    </w:p>
    <w:p>
      <w:pPr>
        <w:pStyle w:val="ListParagraph"/>
        <w:numPr>
          <w:ilvl w:val="0"/>
          <w:numId w:val="5"/>
        </w:numPr>
        <w:spacing w:after="60"/>
      </w:pPr>
      <w:r>
        <w:t xml:space="preserve">Record the BIT spur map; it will be used as part of the fixed-spur mask developed in Phase 8.</w:t>
      </w:r>
    </w:p>
    <w:p>
      <w:pPr>
        <w:pStyle w:val="Heading3"/>
      </w:pPr>
      <w:r>
        <w:t xml:space="preserve">Phase 5: Gain Calibration</w:t>
      </w:r>
    </w:p>
    <w:p>
      <w:pPr>
        <w:spacing w:after="80"/>
      </w:pPr>
      <w:r>
        <w:t xml:space="preserve">Characterise and calibrate the end-to-end gain of each MOFC channel across all conversion paths and the full attenuation range. The output of this phase is a per-channel, per-frequency gain correction table loaded into the CSPIR.</w:t>
      </w:r>
    </w:p>
    <w:p>
      <w:pPr>
        <w:pStyle w:val="ListParagraph"/>
        <w:numPr>
          <w:ilvl w:val="0"/>
          <w:numId w:val="5"/>
        </w:numPr>
        <w:spacing w:after="60"/>
      </w:pPr>
      <w:r>
        <w:t xml:space="preserve">Using the signal generator, inject a CW tone of known power (e.g., –50 dBm) at the MOFC RF input for Channel 1 with attenuation set to 0 dB. Measure the received power at the CSPIR ADC via FFT. Record the measured gain.</w:t>
      </w:r>
    </w:p>
    <w:p>
      <w:pPr>
        <w:pStyle w:val="ListParagraph"/>
        <w:numPr>
          <w:ilvl w:val="0"/>
          <w:numId w:val="5"/>
        </w:numPr>
        <w:spacing w:after="60"/>
      </w:pPr>
      <w:r>
        <w:t xml:space="preserve">Repeat across a grid of frequency points covering all three conversion paths (Direct, 2–6 GHz, 6–18 GHz) for every channel. Build a frequency-vs-gain table per channel.</w:t>
      </w:r>
    </w:p>
    <w:p>
      <w:pPr>
        <w:pStyle w:val="ListParagraph"/>
        <w:numPr>
          <w:ilvl w:val="0"/>
          <w:numId w:val="5"/>
        </w:numPr>
        <w:spacing w:after="60"/>
      </w:pPr>
      <w:r>
        <w:t xml:space="preserve">Verify that the minimum measured gain is ≥ 32 dB across all channels and conversion paths.</w:t>
      </w:r>
    </w:p>
    <w:p>
      <w:pPr>
        <w:pStyle w:val="ListParagraph"/>
        <w:numPr>
          <w:ilvl w:val="0"/>
          <w:numId w:val="5"/>
        </w:numPr>
        <w:spacing w:after="60"/>
      </w:pPr>
      <w:r>
        <w:t xml:space="preserve">Step the per-channel attenuator from 0 to 31.5 dB in 0.5 dB increments for one representative frequency per path; verify the measured power decreases monotonically and the attenuation tracking error is within ± 0.5 dB.</w:t>
      </w:r>
    </w:p>
    <w:p>
      <w:pPr>
        <w:pStyle w:val="ListParagraph"/>
        <w:numPr>
          <w:ilvl w:val="0"/>
          <w:numId w:val="5"/>
        </w:numPr>
        <w:spacing w:after="60"/>
      </w:pPr>
      <w:r>
        <w:t xml:space="preserve">Load the gain correction table into the CSPIR. Inject a tone of known power and verify the PDW Power field is within the specified accuracy relative to the injected level.</w:t>
      </w:r>
    </w:p>
    <w:p>
      <w:pPr>
        <w:pStyle w:val="ListParagraph"/>
        <w:numPr>
          <w:ilvl w:val="0"/>
          <w:numId w:val="5"/>
        </w:numPr>
        <w:spacing w:after="60"/>
      </w:pPr>
      <w:r>
        <w:t xml:space="preserve">Repeat the PDW power accuracy check at three power levels (–70 dBm, –50 dBm, –30 dBm) across all channels and record deviations.</w:t>
      </w:r>
    </w:p>
    <w:p>
      <w:pPr>
        <w:pStyle w:val="Heading3"/>
      </w:pPr>
      <w:r>
        <w:t xml:space="preserve">Phase 6: Detection Threshold Calibration</w:t>
      </w:r>
    </w:p>
    <w:p>
      <w:pPr>
        <w:spacing w:after="80"/>
      </w:pPr>
      <w:r>
        <w:t xml:space="preserve">Establish and verify the CSPIR pulse-detection threshold for every channel and conversion path to achieve the required probability of detection (Pd) and false-alarm rate (FAR).</w:t>
      </w:r>
    </w:p>
    <w:p>
      <w:pPr>
        <w:pStyle w:val="ListParagraph"/>
        <w:numPr>
          <w:ilvl w:val="0"/>
          <w:numId w:val="5"/>
        </w:numPr>
        <w:spacing w:after="60"/>
      </w:pPr>
      <w:r>
        <w:t xml:space="preserve">With all MOFC RF inputs terminated in 50 Ω loads, capture 100 consecutive ADC frames per channel. Compute the RMS noise power at the CSPIR ADC output and record the noise floor in dBm.</w:t>
      </w:r>
    </w:p>
    <w:p>
      <w:pPr>
        <w:pStyle w:val="ListParagraph"/>
        <w:numPr>
          <w:ilvl w:val="0"/>
          <w:numId w:val="5"/>
        </w:numPr>
        <w:spacing w:after="60"/>
      </w:pPr>
      <w:r>
        <w:t xml:space="preserve">Set the detection threshold to the measured noise floor plus the required SNR margin (typically 6–10 dB per system spec). Load threshold values into the CSPIR scan table.</w:t>
      </w:r>
    </w:p>
    <w:p>
      <w:pPr>
        <w:pStyle w:val="ListParagraph"/>
        <w:numPr>
          <w:ilvl w:val="0"/>
          <w:numId w:val="5"/>
        </w:numPr>
        <w:spacing w:after="60"/>
      </w:pPr>
      <w:r>
        <w:t xml:space="preserve">Inject a CW signal at threshold + 3 dB. Run 1000 detection trials per channel; verify the probability of detection is ≥ the specified Pd (e.g., 99%).</w:t>
      </w:r>
    </w:p>
    <w:p>
      <w:pPr>
        <w:pStyle w:val="ListParagraph"/>
        <w:numPr>
          <w:ilvl w:val="0"/>
          <w:numId w:val="5"/>
        </w:numPr>
        <w:spacing w:after="60"/>
      </w:pPr>
      <w:r>
        <w:t xml:space="preserve">With no RF input and thresholds set, operate the CSPIR for 10 seconds per channel and count generated PDWs (false alarms). Verify the FAR is within the specified limit.</w:t>
      </w:r>
    </w:p>
    <w:p>
      <w:pPr>
        <w:pStyle w:val="ListParagraph"/>
        <w:numPr>
          <w:ilvl w:val="0"/>
          <w:numId w:val="5"/>
        </w:numPr>
        <w:spacing w:after="60"/>
      </w:pPr>
      <w:r>
        <w:t xml:space="preserve">Repeat threshold calibration for each channel and each conversion path. Document per-channel threshold register values in the integration log.</w:t>
      </w:r>
    </w:p>
    <w:p>
      <w:pPr>
        <w:pStyle w:val="Heading3"/>
      </w:pPr>
      <w:r>
        <w:t xml:space="preserve">Phase 7: Inter-Channel Phase Calibration</w:t>
      </w:r>
    </w:p>
    <w:p>
      <w:pPr>
        <w:spacing w:after="80"/>
      </w:pPr>
      <w:r>
        <w:t xml:space="preserve">Verify and calibrate phase alignment across all 8 MOFC channels. This phase is mandatory for any system application that relies on coherent multi-channel processing such as direction finding or spatial filtering.</w:t>
      </w:r>
    </w:p>
    <w:p>
      <w:pPr>
        <w:pStyle w:val="ListParagraph"/>
        <w:numPr>
          <w:ilvl w:val="0"/>
          <w:numId w:val="5"/>
        </w:numPr>
        <w:spacing w:after="60"/>
      </w:pPr>
      <w:r>
        <w:t xml:space="preserve">Connect the signal generator output to a calibrated 1:8 splitter. Connect the 8 splitter outputs to the MOFC RF inputs via phase-matched cables of equal electrical length.</w:t>
      </w:r>
    </w:p>
    <w:p>
      <w:pPr>
        <w:pStyle w:val="ListParagraph"/>
        <w:numPr>
          <w:ilvl w:val="0"/>
          <w:numId w:val="5"/>
        </w:numPr>
        <w:spacing w:after="60"/>
      </w:pPr>
      <w:r>
        <w:t xml:space="preserve">Inject a CW tone at a representative mid-band frequency. Trigger a simultaneous ADC capture across all channels from the CSPIR Engineering Test-GUI.</w:t>
      </w:r>
    </w:p>
    <w:p>
      <w:pPr>
        <w:pStyle w:val="ListParagraph"/>
        <w:numPr>
          <w:ilvl w:val="0"/>
          <w:numId w:val="5"/>
        </w:numPr>
        <w:spacing w:after="60"/>
      </w:pPr>
      <w:r>
        <w:t xml:space="preserve">Compute the complex phase of each channel from the captured samples using an FFT. Record the phase of each channel relative to Channel 1 (the reference).</w:t>
      </w:r>
    </w:p>
    <w:p>
      <w:pPr>
        <w:pStyle w:val="ListParagraph"/>
        <w:numPr>
          <w:ilvl w:val="0"/>
          <w:numId w:val="5"/>
        </w:numPr>
        <w:spacing w:after="60"/>
      </w:pPr>
      <w:r>
        <w:t xml:space="preserve">Verify that the measured inter-channel phase offsets are within the MOFC phase-alignment specification.</w:t>
      </w:r>
    </w:p>
    <w:p>
      <w:pPr>
        <w:pStyle w:val="ListParagraph"/>
        <w:numPr>
          <w:ilvl w:val="0"/>
          <w:numId w:val="5"/>
        </w:numPr>
        <w:spacing w:after="60"/>
      </w:pPr>
      <w:r>
        <w:t xml:space="preserve">If any offset exceeds the specification, derive a per-channel phase correction coefficient. Load the correction table into the CSPIR processing chain and re-measure; confirm the residual error is within specification.</w:t>
      </w:r>
    </w:p>
    <w:p>
      <w:pPr>
        <w:pStyle w:val="ListParagraph"/>
        <w:numPr>
          <w:ilvl w:val="0"/>
          <w:numId w:val="5"/>
        </w:numPr>
        <w:spacing w:after="60"/>
      </w:pPr>
      <w:r>
        <w:t xml:space="preserve">Repeat the phase measurement at three frequency points within each conversion path. Confirm phase stability across the operating band and document the phase offset vs. frequency profile for each channel.</w:t>
      </w:r>
    </w:p>
    <w:p>
      <w:pPr>
        <w:pStyle w:val="ListParagraph"/>
        <w:numPr>
          <w:ilvl w:val="0"/>
          <w:numId w:val="5"/>
        </w:numPr>
        <w:spacing w:after="60"/>
      </w:pPr>
      <w:r>
        <w:t xml:space="preserve">Verify that PDW Phase and DPHASE fields are consistent and coherent for pulses received simultaneously on multiple channels.</w:t>
      </w:r>
    </w:p>
    <w:p>
      <w:pPr>
        <w:pStyle w:val="Heading3"/>
      </w:pPr>
      <w:r>
        <w:t xml:space="preserve">Phase 8: Fixed Spurious Emissions Mapping (No External Signal)</w:t>
      </w:r>
    </w:p>
    <w:p>
      <w:pPr>
        <w:spacing w:after="80"/>
      </w:pPr>
      <w:r>
        <w:t xml:space="preserve">Identify and catalogue all internally generated spurious signals present at the CSPIR ADC in the absence of external RF. These include LO leakage, clock harmonics, and inter-modulation products. The result is a fixed-spur mask used to suppress false PDWs during operational use.</w:t>
      </w:r>
    </w:p>
    <w:p>
      <w:pPr>
        <w:pStyle w:val="ListParagraph"/>
        <w:numPr>
          <w:ilvl w:val="0"/>
          <w:numId w:val="5"/>
        </w:numPr>
        <w:spacing w:after="60"/>
      </w:pPr>
      <w:r>
        <w:t xml:space="preserve">Terminate all 8 MOFC RF input ports with matched 50 Ω loads. Enable each channel in turn and capture a high-resolution wideband FFT from the CSPIR ADC.</w:t>
      </w:r>
    </w:p>
    <w:p>
      <w:pPr>
        <w:pStyle w:val="ListParagraph"/>
        <w:numPr>
          <w:ilvl w:val="0"/>
          <w:numId w:val="5"/>
        </w:numPr>
        <w:spacing w:after="60"/>
      </w:pPr>
      <w:r>
        <w:t xml:space="preserve">Identify all spectral peaks exceeding a defined threshold (e.g., 10 dB above the noise floor). Record frequency, amplitude, probable source (LO harmonic, ADC clock spur, etc.) and the affected channel.</w:t>
      </w:r>
    </w:p>
    <w:p>
      <w:pPr>
        <w:pStyle w:val="ListParagraph"/>
        <w:numPr>
          <w:ilvl w:val="0"/>
          <w:numId w:val="5"/>
        </w:numPr>
        <w:spacing w:after="60"/>
      </w:pPr>
      <w:r>
        <w:t xml:space="preserve">Verify the amplitude of all identified spurs is within the specified limit. Flag any spurs that exceed the limit for investigation.</w:t>
      </w:r>
    </w:p>
    <w:p>
      <w:pPr>
        <w:pStyle w:val="ListParagraph"/>
        <w:numPr>
          <w:ilvl w:val="0"/>
          <w:numId w:val="5"/>
        </w:numPr>
        <w:spacing w:after="60"/>
      </w:pPr>
      <w:r>
        <w:t xml:space="preserve">Compile the fixed-spur map across all channels and conversion paths. Load the mask into the CSPIR processing chain so that spur frequencies are excluded from PDW reporting during operation.</w:t>
      </w:r>
    </w:p>
    <w:p>
      <w:pPr>
        <w:pStyle w:val="ListParagraph"/>
        <w:numPr>
          <w:ilvl w:val="0"/>
          <w:numId w:val="5"/>
        </w:numPr>
        <w:spacing w:after="60"/>
      </w:pPr>
      <w:r>
        <w:t xml:space="preserve">Document the complete spur map in the integration log as a permanent reference artefact.</w:t>
      </w:r>
    </w:p>
    <w:p>
      <w:pPr>
        <w:pStyle w:val="Heading3"/>
      </w:pPr>
      <w:r>
        <w:t xml:space="preserve">Phase 9: Spurious-Free Dynamic Range (SFDR) Test</w:t>
      </w:r>
    </w:p>
    <w:p>
      <w:pPr>
        <w:spacing w:after="80"/>
      </w:pPr>
      <w:r>
        <w:t xml:space="preserve">Measure the Spurious-Free Dynamic Range of the receive chain to verify linearity and inter-modulation performance under both single-tone and two-tone excitation.</w:t>
      </w:r>
    </w:p>
    <w:p>
      <w:pPr>
        <w:pStyle w:val="Heading3"/>
      </w:pPr>
      <w:r>
        <w:t xml:space="preserve">9.1  Single-Tone SFDR</w:t>
      </w:r>
    </w:p>
    <w:p>
      <w:pPr>
        <w:pStyle w:val="ListParagraph"/>
        <w:numPr>
          <w:ilvl w:val="0"/>
          <w:numId w:val="5"/>
        </w:numPr>
        <w:spacing w:after="60"/>
      </w:pPr>
      <w:r>
        <w:t xml:space="preserve">Inject a single CW tone at the specified test power level (e.g., –20 dBm at the MOFC RF input) into each channel. Capture a high-resolution FFT from the CSPIR ADC.</w:t>
      </w:r>
    </w:p>
    <w:p>
      <w:pPr>
        <w:pStyle w:val="ListParagraph"/>
        <w:numPr>
          <w:ilvl w:val="0"/>
          <w:numId w:val="5"/>
        </w:numPr>
        <w:spacing w:after="60"/>
      </w:pPr>
      <w:r>
        <w:t xml:space="preserve">Identify the highest spurious product (excluding the fundamental and DC). Compute SFDR as the dB difference between the fundamental power and the highest spur.</w:t>
      </w:r>
    </w:p>
    <w:p>
      <w:pPr>
        <w:pStyle w:val="ListParagraph"/>
        <w:numPr>
          <w:ilvl w:val="0"/>
          <w:numId w:val="5"/>
        </w:numPr>
        <w:spacing w:after="60"/>
      </w:pPr>
      <w:r>
        <w:t xml:space="preserve">Verify the single-tone SFDR meets or exceeds the specified value for all channels across all conversion paths. Record results in a per-channel SFDR table.</w:t>
      </w:r>
    </w:p>
    <w:p>
      <w:pPr>
        <w:pStyle w:val="Heading3"/>
      </w:pPr>
      <w:r>
        <w:t xml:space="preserve">9.2  Two-Tone SFDR and Third-Order Intercept (IP3)</w:t>
      </w:r>
    </w:p>
    <w:p>
      <w:pPr>
        <w:pStyle w:val="ListParagraph"/>
        <w:numPr>
          <w:ilvl w:val="0"/>
          <w:numId w:val="5"/>
        </w:numPr>
        <w:spacing w:after="60"/>
      </w:pPr>
      <w:r>
        <w:t xml:space="preserve">Using a calibrated combiner, inject two equal-power CW tones (f1 and f2, separated by the specified offset, e.g., 1 MHz) simultaneously into each channel; set the combined input power to the specified two-tone test level.</w:t>
      </w:r>
    </w:p>
    <w:p>
      <w:pPr>
        <w:pStyle w:val="ListParagraph"/>
        <w:numPr>
          <w:ilvl w:val="0"/>
          <w:numId w:val="5"/>
        </w:numPr>
        <w:spacing w:after="60"/>
      </w:pPr>
      <w:r>
        <w:t xml:space="preserve">Capture a high-resolution FFT. Identify the 3rd-order inter-modulation products at 2f1–f2 and 2f2–f1. Compute the two-tone SFDR and extrapolate the third-order intercept point (IIP3).</w:t>
      </w:r>
    </w:p>
    <w:p>
      <w:pPr>
        <w:pStyle w:val="ListParagraph"/>
        <w:numPr>
          <w:ilvl w:val="0"/>
          <w:numId w:val="5"/>
        </w:numPr>
        <w:spacing w:after="60"/>
      </w:pPr>
      <w:r>
        <w:t xml:space="preserve">Verify the two-tone SFDR and IIP3 meet the specified values for all channels.</w:t>
      </w:r>
    </w:p>
    <w:p>
      <w:pPr>
        <w:pStyle w:val="ListParagraph"/>
        <w:numPr>
          <w:ilvl w:val="0"/>
          <w:numId w:val="5"/>
        </w:numPr>
        <w:spacing w:after="60"/>
      </w:pPr>
      <w:r>
        <w:t xml:space="preserve">Repeat at two representative frequency points per conversion path. Document IIP3 vs. frequency for each channel.</w:t>
      </w:r>
    </w:p>
    <w:p>
      <w:pPr>
        <w:pStyle w:val="Heading3"/>
      </w:pPr>
      <w:r>
        <w:t xml:space="preserve">Phase 10: PDW Parameter Accuracy and Scan Table Validation</w:t>
      </w:r>
    </w:p>
    <w:p>
      <w:pPr>
        <w:spacing w:after="80"/>
      </w:pPr>
      <w:r>
        <w:t xml:space="preserve">Verify that the CSPIR correctly extracts and reports all PDW parameters within specification, and that the scan table correctly controls MOFC tuning and ADC capture across the full operating band.</w:t>
      </w:r>
    </w:p>
    <w:p>
      <w:pPr>
        <w:pStyle w:val="ListParagraph"/>
        <w:numPr>
          <w:ilvl w:val="0"/>
          <w:numId w:val="5"/>
        </w:numPr>
        <w:spacing w:after="60"/>
      </w:pPr>
      <w:r>
        <w:t xml:space="preserve">Load a scan table with entries covering representative frequencies across the Direct, 2–6 GHz, and 6–18 GHz conversion paths. Inject a pulsed signal at a known frequency; confirm the CSPIR tunes to the correct channel and produces a valid PDW.</w:t>
      </w:r>
    </w:p>
    <w:p>
      <w:pPr>
        <w:pStyle w:val="ListParagraph"/>
        <w:numPr>
          <w:ilvl w:val="0"/>
          <w:numId w:val="5"/>
        </w:numPr>
        <w:spacing w:after="60"/>
      </w:pPr>
      <w:r>
        <w:t xml:space="preserve">Frequency accuracy: sweep the injected signal across the operating range in defined steps; verify the PDW Frequency field error is within the specified tolerance at each point.</w:t>
      </w:r>
    </w:p>
    <w:p>
      <w:pPr>
        <w:pStyle w:val="ListParagraph"/>
        <w:numPr>
          <w:ilvl w:val="0"/>
          <w:numId w:val="5"/>
        </w:numPr>
        <w:spacing w:after="60"/>
      </w:pPr>
      <w:r>
        <w:t xml:space="preserve">Power accuracy: compare the PDW Power field with the calibrated injected power (using the gain table from Phase 5) at three input power levels per channel; confirm errors are within specification.</w:t>
      </w:r>
    </w:p>
    <w:p>
      <w:pPr>
        <w:pStyle w:val="ListParagraph"/>
        <w:numPr>
          <w:ilvl w:val="0"/>
          <w:numId w:val="5"/>
        </w:numPr>
        <w:spacing w:after="60"/>
      </w:pPr>
      <w:r>
        <w:t xml:space="preserve">Pulse Width accuracy: inject pulses of known width (e.g., 0.5 μs, 10 μs, 100 μs); verify the PDW Pulse Width field tracks the programmed value within the specified measurement error.</w:t>
      </w:r>
    </w:p>
    <w:p>
      <w:pPr>
        <w:pStyle w:val="ListParagraph"/>
        <w:numPr>
          <w:ilvl w:val="0"/>
          <w:numId w:val="5"/>
        </w:numPr>
        <w:spacing w:after="60"/>
      </w:pPr>
      <w:r>
        <w:t xml:space="preserve">TOA accuracy: use the signal generator trigger output as an external reference. Measure the time between the trigger edge and the PDW TOA field; confirm the error is within the specified TOA accuracy.</w:t>
      </w:r>
    </w:p>
    <w:p>
      <w:pPr>
        <w:pStyle w:val="ListParagraph"/>
        <w:numPr>
          <w:ilvl w:val="0"/>
          <w:numId w:val="5"/>
        </w:numPr>
        <w:spacing w:after="60"/>
      </w:pPr>
      <w:r>
        <w:t xml:space="preserve">Phase and DPHASE: inject a multi-pulse train with a known phase relationship; confirm the PDW Phase and DPHASE fields are consistent and track the expected values.</w:t>
      </w:r>
    </w:p>
    <w:p>
      <w:pPr>
        <w:pStyle w:val="ListParagraph"/>
        <w:numPr>
          <w:ilvl w:val="0"/>
          <w:numId w:val="5"/>
        </w:numPr>
        <w:spacing w:after="60"/>
      </w:pPr>
      <w:r>
        <w:t xml:space="preserve">Scan table cycling: configure a multi-entry scan table and verify the CSPIR correctly sequences through all entries, dwells for the specified time, and reports PDWs only for the active channel at each step.</w:t>
      </w:r>
    </w:p>
    <w:p>
      <w:pPr>
        <w:pStyle w:val="Heading3"/>
      </w:pPr>
      <w:r>
        <w:t xml:space="preserve">Phase 11: System-Level Acceptance Test</w:t>
      </w:r>
    </w:p>
    <w:p>
      <w:pPr>
        <w:spacing w:after="80"/>
      </w:pPr>
      <w:r>
        <w:t xml:space="preserve">Perform a final end-to-end acceptance test to confirm the fully integrated CDRP sensor meets all key performance requirements as a system, prior to delivery or operational deployment.</w:t>
      </w:r>
    </w:p>
    <w:p>
      <w:pPr>
        <w:pStyle w:val="ListParagraph"/>
        <w:numPr>
          <w:ilvl w:val="0"/>
          <w:numId w:val="5"/>
        </w:numPr>
        <w:spacing w:after="60"/>
      </w:pPr>
      <w:r>
        <w:t xml:space="preserve">Re-run the complete Internal and External BIT self-test sequence via the CSPIR Engineering Test-GUI; confirm PASS on all 8 channels.</w:t>
      </w:r>
    </w:p>
    <w:p>
      <w:pPr>
        <w:pStyle w:val="ListParagraph"/>
        <w:numPr>
          <w:ilvl w:val="0"/>
          <w:numId w:val="5"/>
        </w:numPr>
        <w:spacing w:after="60"/>
      </w:pPr>
      <w:r>
        <w:t xml:space="preserve">Inject a multi-frequency, multi-pulse scenario simulating a realistic signal environment. Verify the CSPIR correctly interleaves PDW reporting across all active scan table entries without dropped or duplicated events.</w:t>
      </w:r>
    </w:p>
    <w:p>
      <w:pPr>
        <w:pStyle w:val="ListParagraph"/>
        <w:numPr>
          <w:ilvl w:val="0"/>
          <w:numId w:val="5"/>
        </w:numPr>
        <w:spacing w:after="60"/>
      </w:pPr>
      <w:r>
        <w:t xml:space="preserve">Execute the automated test suite (PDW capture, FFT/ADC sample collection) using the CSPIR automation capability. Verify all results are within specified limits and output files are saved correctly.</w:t>
      </w:r>
    </w:p>
    <w:p>
      <w:pPr>
        <w:pStyle w:val="ListParagraph"/>
        <w:numPr>
          <w:ilvl w:val="0"/>
          <w:numId w:val="5"/>
        </w:numPr>
        <w:spacing w:after="60"/>
      </w:pPr>
      <w:r>
        <w:t xml:space="preserve">Thermal soak: operate the fully integrated system at nominal conditions for 2 hours. At the end of the soak period, re-run the gain, sensitivity, and phase checks from Phases 5, 8, and 7 respectively; confirm no measurable degradation.</w:t>
      </w:r>
    </w:p>
    <w:p>
      <w:pPr>
        <w:pStyle w:val="ListParagraph"/>
        <w:numPr>
          <w:ilvl w:val="0"/>
          <w:numId w:val="5"/>
        </w:numPr>
        <w:spacing w:after="60"/>
      </w:pPr>
      <w:r>
        <w:t xml:space="preserve">Review the complete integration log. Verify every phase has a recorded PASS result. Document any deviations, open items, or waivers with their disposition and approver.</w:t>
      </w:r>
    </w:p>
    <w:p>
      <w:pPr>
        <w:pStyle w:val="ListParagraph"/>
        <w:numPr>
          <w:ilvl w:val="0"/>
          <w:numId w:val="5"/>
        </w:numPr>
        <w:spacing w:after="60"/>
      </w:pPr>
      <w:r>
        <w:t xml:space="preserve">Obtain sign-off from the integration lead and system engineer before releasing the unit for further system-level testing or delivery.</w:t>
      </w:r>
    </w:p>
    <w:sectPr w:rsidR="00617FDE">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0C00E" w14:textId="77777777" w:rsidR="00160410" w:rsidRDefault="00160410">
      <w:r>
        <w:separator/>
      </w:r>
    </w:p>
  </w:endnote>
  <w:endnote w:type="continuationSeparator" w:id="0">
    <w:p w14:paraId="660D4659" w14:textId="77777777" w:rsidR="00160410" w:rsidRDefault="001604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9EC9" w14:textId="77777777" w:rsidR="00A4296E" w:rsidRDefault="00000000">
    <w:pPr>
      <w:pBdr>
        <w:top w:val="single" w:sz="4" w:space="2" w:color="CCCCCC"/>
      </w:pBdr>
      <w:tabs>
        <w:tab w:val="right" w:pos="9026"/>
      </w:tabs>
    </w:pPr>
    <w:r>
      <w:rPr>
        <w:color w:val="888888"/>
        <w:sz w:val="16"/>
        <w:szCs w:val="16"/>
      </w:rPr>
      <w:t>This document contains proprietary information of ELTA Electronics Industries Ltd.</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C10B1">
      <w:rPr>
        <w:noProof/>
        <w:color w:val="888888"/>
        <w:sz w:val="16"/>
        <w:szCs w:val="16"/>
      </w:rPr>
      <w:t>1</w:t>
    </w:r>
    <w:r>
      <w:rPr>
        <w:color w:val="888888"/>
        <w:sz w:val="16"/>
        <w:szCs w:val="16"/>
      </w:rPr>
      <w:fldChar w:fldCharType="end"/>
    </w:r>
    <w:r>
      <w:rPr>
        <w:color w:val="888888"/>
        <w:sz w:val="16"/>
        <w:szCs w:val="16"/>
      </w:rPr>
      <w:t xml:space="preserve"> of 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F10AA" w14:textId="77777777" w:rsidR="00160410" w:rsidRDefault="00160410">
      <w:r>
        <w:separator/>
      </w:r>
    </w:p>
  </w:footnote>
  <w:footnote w:type="continuationSeparator" w:id="0">
    <w:p w14:paraId="67DE9865" w14:textId="77777777" w:rsidR="00160410" w:rsidRDefault="001604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18AB6" w14:textId="0A9DEE4B" w:rsidR="00A4296E" w:rsidRPr="00617FDE" w:rsidRDefault="00617FDE">
    <w:pPr>
      <w:pBdr>
        <w:bottom w:val="single" w:sz="4" w:space="2" w:color="1F3864"/>
      </w:pBdr>
      <w:tabs>
        <w:tab w:val="right" w:pos="9026"/>
      </w:tabs>
      <w:rPr>
        <w:lang w:val="en-US"/>
      </w:rPr>
    </w:pPr>
    <w:r>
      <w:rPr>
        <w:b/>
        <w:bCs/>
        <w:color w:val="1F3864"/>
        <w:sz w:val="18"/>
        <w:szCs w:val="18"/>
        <w:lang w:val="en-US"/>
      </w:rPr>
      <w:t>CDRP integration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E24"/>
    <w:multiLevelType w:val="multilevel"/>
    <w:tmpl w:val="EE6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C3E90"/>
    <w:multiLevelType w:val="hybridMultilevel"/>
    <w:tmpl w:val="A634B2E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F207C24"/>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34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FA676EE"/>
    <w:multiLevelType w:val="hybridMultilevel"/>
    <w:tmpl w:val="D81A1C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79615B2"/>
    <w:multiLevelType w:val="multilevel"/>
    <w:tmpl w:val="E3CE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32EB0"/>
    <w:multiLevelType w:val="hybridMultilevel"/>
    <w:tmpl w:val="FE7EE0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1F312B6"/>
    <w:multiLevelType w:val="multilevel"/>
    <w:tmpl w:val="0B9E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906F9"/>
    <w:multiLevelType w:val="hybridMultilevel"/>
    <w:tmpl w:val="3EC0BC86"/>
    <w:lvl w:ilvl="0" w:tplc="D7D48D00">
      <w:start w:val="1"/>
      <w:numFmt w:val="decimal"/>
      <w:lvlText w:val="%1."/>
      <w:lvlJc w:val="left"/>
      <w:pPr>
        <w:ind w:left="560" w:hanging="280"/>
      </w:pPr>
    </w:lvl>
    <w:lvl w:ilvl="1" w:tplc="BFC22E32">
      <w:numFmt w:val="decimal"/>
      <w:lvlText w:val=""/>
      <w:lvlJc w:val="left"/>
    </w:lvl>
    <w:lvl w:ilvl="2" w:tplc="B6E4D330">
      <w:numFmt w:val="decimal"/>
      <w:lvlText w:val=""/>
      <w:lvlJc w:val="left"/>
    </w:lvl>
    <w:lvl w:ilvl="3" w:tplc="7A581460">
      <w:numFmt w:val="decimal"/>
      <w:lvlText w:val=""/>
      <w:lvlJc w:val="left"/>
    </w:lvl>
    <w:lvl w:ilvl="4" w:tplc="0568D218">
      <w:numFmt w:val="decimal"/>
      <w:lvlText w:val=""/>
      <w:lvlJc w:val="left"/>
    </w:lvl>
    <w:lvl w:ilvl="5" w:tplc="7046C4AE">
      <w:numFmt w:val="decimal"/>
      <w:lvlText w:val=""/>
      <w:lvlJc w:val="left"/>
    </w:lvl>
    <w:lvl w:ilvl="6" w:tplc="DB561B1A">
      <w:numFmt w:val="decimal"/>
      <w:lvlText w:val=""/>
      <w:lvlJc w:val="left"/>
    </w:lvl>
    <w:lvl w:ilvl="7" w:tplc="3B4C610A">
      <w:numFmt w:val="decimal"/>
      <w:lvlText w:val=""/>
      <w:lvlJc w:val="left"/>
    </w:lvl>
    <w:lvl w:ilvl="8" w:tplc="2B5E2D48">
      <w:numFmt w:val="decimal"/>
      <w:lvlText w:val=""/>
      <w:lvlJc w:val="left"/>
    </w:lvl>
  </w:abstractNum>
  <w:abstractNum w:abstractNumId="8" w15:restartNumberingAfterBreak="0">
    <w:nsid w:val="3B7B21B6"/>
    <w:multiLevelType w:val="multilevel"/>
    <w:tmpl w:val="450E94A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51E20423"/>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403509A"/>
    <w:multiLevelType w:val="hybridMultilevel"/>
    <w:tmpl w:val="CFA4485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784218F"/>
    <w:multiLevelType w:val="hybridMultilevel"/>
    <w:tmpl w:val="48DEFF44"/>
    <w:lvl w:ilvl="0" w:tplc="417483DE">
      <w:start w:val="1"/>
      <w:numFmt w:val="decimal"/>
      <w:lvlText w:val="%1."/>
      <w:lvlJc w:val="left"/>
      <w:pPr>
        <w:ind w:left="750" w:hanging="39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58EC147F"/>
    <w:multiLevelType w:val="hybridMultilevel"/>
    <w:tmpl w:val="A1B2BD98"/>
    <w:lvl w:ilvl="0" w:tplc="6D3C2E7C">
      <w:start w:val="1"/>
      <w:numFmt w:val="bullet"/>
      <w:lvlText w:val="-"/>
      <w:lvlJc w:val="left"/>
      <w:pPr>
        <w:ind w:left="720" w:hanging="360"/>
      </w:pPr>
      <w:rPr>
        <w:rFonts w:ascii="Arial" w:eastAsia="Arial" w:hAnsi="Arial" w:cs="Aria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8891243"/>
    <w:multiLevelType w:val="hybridMultilevel"/>
    <w:tmpl w:val="6D9208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99A79A1"/>
    <w:multiLevelType w:val="hybridMultilevel"/>
    <w:tmpl w:val="3A763F36"/>
    <w:lvl w:ilvl="0" w:tplc="713C97CC">
      <w:start w:val="1"/>
      <w:numFmt w:val="bullet"/>
      <w:lvlText w:val="●"/>
      <w:lvlJc w:val="left"/>
      <w:pPr>
        <w:ind w:left="720" w:hanging="360"/>
      </w:pPr>
    </w:lvl>
    <w:lvl w:ilvl="1" w:tplc="0428B6E8">
      <w:start w:val="1"/>
      <w:numFmt w:val="bullet"/>
      <w:lvlText w:val="○"/>
      <w:lvlJc w:val="left"/>
      <w:pPr>
        <w:ind w:left="1440" w:hanging="360"/>
      </w:pPr>
    </w:lvl>
    <w:lvl w:ilvl="2" w:tplc="683A092E">
      <w:start w:val="1"/>
      <w:numFmt w:val="bullet"/>
      <w:lvlText w:val="■"/>
      <w:lvlJc w:val="left"/>
      <w:pPr>
        <w:ind w:left="2160" w:hanging="360"/>
      </w:pPr>
    </w:lvl>
    <w:lvl w:ilvl="3" w:tplc="7D06C974">
      <w:start w:val="1"/>
      <w:numFmt w:val="bullet"/>
      <w:lvlText w:val="●"/>
      <w:lvlJc w:val="left"/>
      <w:pPr>
        <w:ind w:left="2880" w:hanging="360"/>
      </w:pPr>
    </w:lvl>
    <w:lvl w:ilvl="4" w:tplc="DD2098A2">
      <w:start w:val="1"/>
      <w:numFmt w:val="bullet"/>
      <w:lvlText w:val="○"/>
      <w:lvlJc w:val="left"/>
      <w:pPr>
        <w:ind w:left="3600" w:hanging="360"/>
      </w:pPr>
    </w:lvl>
    <w:lvl w:ilvl="5" w:tplc="20187E62">
      <w:start w:val="1"/>
      <w:numFmt w:val="bullet"/>
      <w:lvlText w:val="■"/>
      <w:lvlJc w:val="left"/>
      <w:pPr>
        <w:ind w:left="4320" w:hanging="360"/>
      </w:pPr>
    </w:lvl>
    <w:lvl w:ilvl="6" w:tplc="1BEEFE9E">
      <w:start w:val="1"/>
      <w:numFmt w:val="bullet"/>
      <w:lvlText w:val="●"/>
      <w:lvlJc w:val="left"/>
      <w:pPr>
        <w:ind w:left="5040" w:hanging="360"/>
      </w:pPr>
    </w:lvl>
    <w:lvl w:ilvl="7" w:tplc="829E74AE">
      <w:start w:val="1"/>
      <w:numFmt w:val="bullet"/>
      <w:lvlText w:val="●"/>
      <w:lvlJc w:val="left"/>
      <w:pPr>
        <w:ind w:left="5760" w:hanging="360"/>
      </w:pPr>
    </w:lvl>
    <w:lvl w:ilvl="8" w:tplc="CB286FE8">
      <w:start w:val="1"/>
      <w:numFmt w:val="bullet"/>
      <w:lvlText w:val="●"/>
      <w:lvlJc w:val="left"/>
      <w:pPr>
        <w:ind w:left="6480" w:hanging="360"/>
      </w:pPr>
    </w:lvl>
  </w:abstractNum>
  <w:abstractNum w:abstractNumId="15" w15:restartNumberingAfterBreak="0">
    <w:nsid w:val="79CF4679"/>
    <w:multiLevelType w:val="hybridMultilevel"/>
    <w:tmpl w:val="A0BCEEF8"/>
    <w:lvl w:ilvl="0" w:tplc="23026816">
      <w:start w:val="1"/>
      <w:numFmt w:val="bullet"/>
      <w:lvlText w:val="•"/>
      <w:lvlJc w:val="left"/>
      <w:pPr>
        <w:ind w:left="560" w:hanging="280"/>
      </w:pPr>
    </w:lvl>
    <w:lvl w:ilvl="1" w:tplc="77182ED0">
      <w:numFmt w:val="decimal"/>
      <w:lvlText w:val=""/>
      <w:lvlJc w:val="left"/>
    </w:lvl>
    <w:lvl w:ilvl="2" w:tplc="719E5080">
      <w:numFmt w:val="decimal"/>
      <w:lvlText w:val=""/>
      <w:lvlJc w:val="left"/>
    </w:lvl>
    <w:lvl w:ilvl="3" w:tplc="D20CBE04">
      <w:numFmt w:val="decimal"/>
      <w:lvlText w:val=""/>
      <w:lvlJc w:val="left"/>
    </w:lvl>
    <w:lvl w:ilvl="4" w:tplc="265E29D2">
      <w:numFmt w:val="decimal"/>
      <w:lvlText w:val=""/>
      <w:lvlJc w:val="left"/>
    </w:lvl>
    <w:lvl w:ilvl="5" w:tplc="DBA61E84">
      <w:numFmt w:val="decimal"/>
      <w:lvlText w:val=""/>
      <w:lvlJc w:val="left"/>
    </w:lvl>
    <w:lvl w:ilvl="6" w:tplc="F9BE7084">
      <w:numFmt w:val="decimal"/>
      <w:lvlText w:val=""/>
      <w:lvlJc w:val="left"/>
    </w:lvl>
    <w:lvl w:ilvl="7" w:tplc="105ACF14">
      <w:numFmt w:val="decimal"/>
      <w:lvlText w:val=""/>
      <w:lvlJc w:val="left"/>
    </w:lvl>
    <w:lvl w:ilvl="8" w:tplc="AF3AEF32">
      <w:numFmt w:val="decimal"/>
      <w:lvlText w:val=""/>
      <w:lvlJc w:val="left"/>
    </w:lvl>
  </w:abstractNum>
  <w:abstractNum w:abstractNumId="16" w15:restartNumberingAfterBreak="0">
    <w:nsid w:val="7AF31A5F"/>
    <w:multiLevelType w:val="hybridMultilevel"/>
    <w:tmpl w:val="A5C064AA"/>
    <w:lvl w:ilvl="0" w:tplc="3552FB44">
      <w:start w:val="1"/>
      <w:numFmt w:val="bullet"/>
      <w:lvlText w:val="o"/>
      <w:lvlJc w:val="left"/>
      <w:pPr>
        <w:ind w:left="1080" w:hanging="280"/>
      </w:pPr>
    </w:lvl>
    <w:lvl w:ilvl="1" w:tplc="F77AB846">
      <w:numFmt w:val="decimal"/>
      <w:lvlText w:val=""/>
      <w:lvlJc w:val="left"/>
    </w:lvl>
    <w:lvl w:ilvl="2" w:tplc="F452ABAA">
      <w:numFmt w:val="decimal"/>
      <w:lvlText w:val=""/>
      <w:lvlJc w:val="left"/>
    </w:lvl>
    <w:lvl w:ilvl="3" w:tplc="0AF4A72E">
      <w:numFmt w:val="decimal"/>
      <w:lvlText w:val=""/>
      <w:lvlJc w:val="left"/>
    </w:lvl>
    <w:lvl w:ilvl="4" w:tplc="2D8EE9D4">
      <w:numFmt w:val="decimal"/>
      <w:lvlText w:val=""/>
      <w:lvlJc w:val="left"/>
    </w:lvl>
    <w:lvl w:ilvl="5" w:tplc="E842BC54">
      <w:numFmt w:val="decimal"/>
      <w:lvlText w:val=""/>
      <w:lvlJc w:val="left"/>
    </w:lvl>
    <w:lvl w:ilvl="6" w:tplc="518CF4FE">
      <w:numFmt w:val="decimal"/>
      <w:lvlText w:val=""/>
      <w:lvlJc w:val="left"/>
    </w:lvl>
    <w:lvl w:ilvl="7" w:tplc="50309320">
      <w:numFmt w:val="decimal"/>
      <w:lvlText w:val=""/>
      <w:lvlJc w:val="left"/>
    </w:lvl>
    <w:lvl w:ilvl="8" w:tplc="E1483CB6">
      <w:numFmt w:val="decimal"/>
      <w:lvlText w:val=""/>
      <w:lvlJc w:val="left"/>
    </w:lvl>
  </w:abstractNum>
  <w:num w:numId="1" w16cid:durableId="1080373091">
    <w:abstractNumId w:val="14"/>
    <w:lvlOverride w:ilvl="0">
      <w:startOverride w:val="1"/>
    </w:lvlOverride>
  </w:num>
  <w:num w:numId="2" w16cid:durableId="321616721">
    <w:abstractNumId w:val="15"/>
    <w:lvlOverride w:ilvl="0">
      <w:startOverride w:val="1"/>
    </w:lvlOverride>
  </w:num>
  <w:num w:numId="3" w16cid:durableId="1523663030">
    <w:abstractNumId w:val="16"/>
    <w:lvlOverride w:ilvl="0">
      <w:startOverride w:val="1"/>
    </w:lvlOverride>
  </w:num>
  <w:num w:numId="4" w16cid:durableId="674918284">
    <w:abstractNumId w:val="7"/>
    <w:lvlOverride w:ilvl="0">
      <w:startOverride w:val="1"/>
    </w:lvlOverride>
  </w:num>
  <w:num w:numId="5" w16cid:durableId="766076299">
    <w:abstractNumId w:val="10"/>
  </w:num>
  <w:num w:numId="6" w16cid:durableId="523908292">
    <w:abstractNumId w:val="3"/>
  </w:num>
  <w:num w:numId="7" w16cid:durableId="971521320">
    <w:abstractNumId w:val="13"/>
  </w:num>
  <w:num w:numId="8" w16cid:durableId="426734588">
    <w:abstractNumId w:val="9"/>
  </w:num>
  <w:num w:numId="9" w16cid:durableId="301429845">
    <w:abstractNumId w:val="11"/>
  </w:num>
  <w:num w:numId="10" w16cid:durableId="1856915477">
    <w:abstractNumId w:val="1"/>
  </w:num>
  <w:num w:numId="11" w16cid:durableId="1931429850">
    <w:abstractNumId w:val="8"/>
  </w:num>
  <w:num w:numId="12" w16cid:durableId="1630357922">
    <w:abstractNumId w:val="2"/>
  </w:num>
  <w:num w:numId="13" w16cid:durableId="1767772308">
    <w:abstractNumId w:val="12"/>
  </w:num>
  <w:num w:numId="14" w16cid:durableId="95056179">
    <w:abstractNumId w:val="5"/>
  </w:num>
  <w:num w:numId="15" w16cid:durableId="1529559544">
    <w:abstractNumId w:val="6"/>
  </w:num>
  <w:num w:numId="16" w16cid:durableId="1993484830">
    <w:abstractNumId w:val="4"/>
  </w:num>
  <w:num w:numId="17" w16cid:durableId="441192697">
    <w:abstractNumId w:val="0"/>
  </w:num>
  <w:num w:numId="18" w16cid:durableId="1748261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96E"/>
    <w:rsid w:val="0001157F"/>
    <w:rsid w:val="00112FB8"/>
    <w:rsid w:val="001160EB"/>
    <w:rsid w:val="00122889"/>
    <w:rsid w:val="00160410"/>
    <w:rsid w:val="00373F2E"/>
    <w:rsid w:val="00617FDE"/>
    <w:rsid w:val="008B4295"/>
    <w:rsid w:val="00A4296E"/>
    <w:rsid w:val="00AE19CC"/>
    <w:rsid w:val="00B425C8"/>
    <w:rsid w:val="00BC10B1"/>
    <w:rsid w:val="00C02ECE"/>
    <w:rsid w:val="00CB1303"/>
    <w:rsid w:val="00CB57EA"/>
    <w:rsid w:val="00D71A01"/>
    <w:rsid w:val="00DC61CE"/>
    <w:rsid w:val="00ED2D39"/>
    <w:rsid w:val="00EE327E"/>
    <w:rsid w:val="00FA100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DE49"/>
  <w15:docId w15:val="{EBF175E8-CC9A-414F-A5C1-FAA316526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889"/>
  </w:style>
  <w:style w:type="paragraph" w:styleId="Heading1">
    <w:name w:val="heading 1"/>
    <w:uiPriority w:val="9"/>
    <w:qFormat/>
    <w:pPr>
      <w:numPr>
        <w:numId w:val="12"/>
      </w:numPr>
      <w:pBdr>
        <w:bottom w:val="single" w:sz="6" w:space="3" w:color="1F3864"/>
      </w:pBdr>
      <w:spacing w:before="280" w:after="120"/>
      <w:outlineLvl w:val="0"/>
    </w:pPr>
    <w:rPr>
      <w:b/>
      <w:bCs/>
      <w:color w:val="1F3864"/>
      <w:sz w:val="28"/>
      <w:szCs w:val="28"/>
    </w:rPr>
  </w:style>
  <w:style w:type="paragraph" w:styleId="Heading2">
    <w:name w:val="heading 2"/>
    <w:link w:val="Heading2Char"/>
    <w:uiPriority w:val="9"/>
    <w:unhideWhenUsed/>
    <w:qFormat/>
    <w:pPr>
      <w:numPr>
        <w:ilvl w:val="1"/>
        <w:numId w:val="12"/>
      </w:numPr>
      <w:spacing w:before="200" w:after="80"/>
      <w:outlineLvl w:val="1"/>
    </w:pPr>
    <w:rPr>
      <w:b/>
      <w:bCs/>
      <w:color w:val="1F3864"/>
      <w:sz w:val="24"/>
      <w:szCs w:val="24"/>
    </w:rPr>
  </w:style>
  <w:style w:type="paragraph" w:styleId="Heading3">
    <w:name w:val="heading 3"/>
    <w:link w:val="Heading3Char"/>
    <w:uiPriority w:val="9"/>
    <w:unhideWhenUsed/>
    <w:qFormat/>
    <w:pPr>
      <w:numPr>
        <w:ilvl w:val="2"/>
        <w:numId w:val="12"/>
      </w:numPr>
      <w:spacing w:before="160" w:after="60"/>
      <w:ind w:left="720"/>
      <w:outlineLvl w:val="2"/>
    </w:pPr>
    <w:rPr>
      <w:b/>
      <w:bCs/>
      <w:color w:val="333333"/>
    </w:rPr>
  </w:style>
  <w:style w:type="paragraph" w:styleId="Heading4">
    <w:name w:val="heading 4"/>
    <w:uiPriority w:val="9"/>
    <w:unhideWhenUsed/>
    <w:qFormat/>
    <w:pPr>
      <w:numPr>
        <w:ilvl w:val="3"/>
        <w:numId w:val="12"/>
      </w:numPr>
      <w:spacing w:before="120" w:after="40"/>
      <w:outlineLvl w:val="3"/>
    </w:pPr>
    <w:rPr>
      <w:b/>
      <w:bCs/>
      <w:color w:val="555555"/>
    </w:rPr>
  </w:style>
  <w:style w:type="paragraph" w:styleId="Heading5">
    <w:name w:val="heading 5"/>
    <w:uiPriority w:val="9"/>
    <w:semiHidden/>
    <w:unhideWhenUsed/>
    <w:qFormat/>
    <w:pPr>
      <w:numPr>
        <w:ilvl w:val="4"/>
        <w:numId w:val="12"/>
      </w:numPr>
      <w:outlineLvl w:val="4"/>
    </w:pPr>
    <w:rPr>
      <w:color w:val="2E74B5"/>
    </w:rPr>
  </w:style>
  <w:style w:type="paragraph" w:styleId="Heading6">
    <w:name w:val="heading 6"/>
    <w:uiPriority w:val="9"/>
    <w:semiHidden/>
    <w:unhideWhenUsed/>
    <w:qFormat/>
    <w:pPr>
      <w:numPr>
        <w:ilvl w:val="5"/>
        <w:numId w:val="12"/>
      </w:numPr>
      <w:outlineLvl w:val="5"/>
    </w:pPr>
    <w:rPr>
      <w:color w:val="1F4D78"/>
    </w:rPr>
  </w:style>
  <w:style w:type="paragraph" w:styleId="Heading7">
    <w:name w:val="heading 7"/>
    <w:basedOn w:val="Normal"/>
    <w:next w:val="Normal"/>
    <w:link w:val="Heading7Char"/>
    <w:uiPriority w:val="9"/>
    <w:semiHidden/>
    <w:unhideWhenUsed/>
    <w:qFormat/>
    <w:rsid w:val="00373F2E"/>
    <w:pPr>
      <w:keepNext/>
      <w:keepLines/>
      <w:numPr>
        <w:ilvl w:val="6"/>
        <w:numId w:val="12"/>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373F2E"/>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73F2E"/>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122889"/>
    <w:rPr>
      <w:b/>
      <w:bCs/>
      <w:color w:val="1F3864"/>
      <w:sz w:val="24"/>
      <w:szCs w:val="24"/>
    </w:rPr>
  </w:style>
  <w:style w:type="paragraph" w:styleId="Header">
    <w:name w:val="header"/>
    <w:basedOn w:val="Normal"/>
    <w:link w:val="HeaderChar"/>
    <w:uiPriority w:val="99"/>
    <w:unhideWhenUsed/>
    <w:rsid w:val="00617FDE"/>
    <w:pPr>
      <w:tabs>
        <w:tab w:val="center" w:pos="4513"/>
        <w:tab w:val="right" w:pos="9026"/>
      </w:tabs>
    </w:pPr>
  </w:style>
  <w:style w:type="character" w:customStyle="1" w:styleId="HeaderChar">
    <w:name w:val="Header Char"/>
    <w:basedOn w:val="DefaultParagraphFont"/>
    <w:link w:val="Header"/>
    <w:uiPriority w:val="99"/>
    <w:rsid w:val="00617FDE"/>
  </w:style>
  <w:style w:type="paragraph" w:styleId="Footer">
    <w:name w:val="footer"/>
    <w:basedOn w:val="Normal"/>
    <w:link w:val="FooterChar"/>
    <w:uiPriority w:val="99"/>
    <w:unhideWhenUsed/>
    <w:rsid w:val="00617FDE"/>
    <w:pPr>
      <w:tabs>
        <w:tab w:val="center" w:pos="4513"/>
        <w:tab w:val="right" w:pos="9026"/>
      </w:tabs>
    </w:pPr>
  </w:style>
  <w:style w:type="character" w:customStyle="1" w:styleId="FooterChar">
    <w:name w:val="Footer Char"/>
    <w:basedOn w:val="DefaultParagraphFont"/>
    <w:link w:val="Footer"/>
    <w:uiPriority w:val="99"/>
    <w:rsid w:val="00617FDE"/>
  </w:style>
  <w:style w:type="character" w:customStyle="1" w:styleId="Heading7Char">
    <w:name w:val="Heading 7 Char"/>
    <w:basedOn w:val="DefaultParagraphFont"/>
    <w:link w:val="Heading7"/>
    <w:uiPriority w:val="9"/>
    <w:semiHidden/>
    <w:rsid w:val="00373F2E"/>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373F2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73F2E"/>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373F2E"/>
    <w:pPr>
      <w:keepNext/>
      <w:keepLines/>
      <w:numPr>
        <w:numId w:val="0"/>
      </w:numPr>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373F2E"/>
    <w:pPr>
      <w:spacing w:after="100"/>
    </w:pPr>
  </w:style>
  <w:style w:type="paragraph" w:styleId="TOC2">
    <w:name w:val="toc 2"/>
    <w:basedOn w:val="Normal"/>
    <w:next w:val="Normal"/>
    <w:autoRedefine/>
    <w:uiPriority w:val="39"/>
    <w:unhideWhenUsed/>
    <w:rsid w:val="00373F2E"/>
    <w:pPr>
      <w:spacing w:after="100"/>
      <w:ind w:left="220"/>
    </w:pPr>
  </w:style>
  <w:style w:type="character" w:customStyle="1" w:styleId="Heading3Char">
    <w:name w:val="Heading 3 Char"/>
    <w:basedOn w:val="DefaultParagraphFont"/>
    <w:link w:val="Heading3"/>
    <w:uiPriority w:val="9"/>
    <w:rsid w:val="00EE327E"/>
    <w:rPr>
      <w:b/>
      <w:bCs/>
      <w:color w:val="3333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09932-AB05-4518-8C8D-7C89F2910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392</Words>
  <Characters>2240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Lianne Izkovsky</cp:lastModifiedBy>
  <cp:revision>3</cp:revision>
  <dcterms:created xsi:type="dcterms:W3CDTF">2026-05-26T13:29:00Z</dcterms:created>
  <dcterms:modified xsi:type="dcterms:W3CDTF">2026-05-26T13:31:00Z</dcterms:modified>
</cp:coreProperties>
</file>