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n-GB"/>
        </w:rPr>
      </w:pPr>
      <w:bookmarkStart w:id="0" w:name="_GoBack"/>
      <w:bookmarkStart w:id="1" w:name="_GoBack"/>
      <w:bookmarkEnd w:id="1"/>
      <w:r>
        <w:rPr>
          <w:rFonts w:cs="Arial" w:ascii="Arial" w:hAnsi="Arial"/>
          <w:lang w:val="en-GB"/>
        </w:rPr>
      </w:r>
    </w:p>
    <w:p>
      <w:pPr>
        <w:pStyle w:val="Normal"/>
        <w:widowControl w:val="false"/>
        <w:spacing w:lineRule="auto" w:line="360"/>
        <w:jc w:val="both"/>
        <w:rPr/>
      </w:pPr>
      <w:r>
        <w:rPr>
          <w:rFonts w:eastAsia="Cambria" w:cs="Arial" w:ascii="Arial" w:hAnsi="Arial"/>
          <w:b/>
          <w:sz w:val="22"/>
          <w:szCs w:val="22"/>
          <w:lang w:val="en-GB"/>
        </w:rPr>
        <w:t>Table S</w:t>
      </w:r>
      <w:r>
        <w:rPr>
          <w:rFonts w:eastAsia="Cambria" w:cs="Arial" w:ascii="Arial" w:hAnsi="Arial"/>
          <w:b/>
          <w:sz w:val="22"/>
          <w:szCs w:val="22"/>
          <w:lang w:val="en-GB"/>
        </w:rPr>
        <w:t>4.</w:t>
      </w:r>
      <w:r>
        <w:rPr>
          <w:rFonts w:eastAsia="Cambria" w:cs="Arial" w:ascii="Arial" w:hAnsi="Arial"/>
          <w:b/>
          <w:sz w:val="22"/>
          <w:szCs w:val="22"/>
          <w:lang w:val="en-GB"/>
        </w:rPr>
        <w:t xml:space="preserve"> Putative orthologue families unique to Pseudofungi in comparison to other eukaryotes.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13150" w:type="dxa"/>
        <w:jc w:val="left"/>
        <w:tblInd w:w="-11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218"/>
        <w:gridCol w:w="2552"/>
        <w:gridCol w:w="3121"/>
        <w:gridCol w:w="3258"/>
      </w:tblGrid>
      <w:tr>
        <w:trPr/>
        <w:tc>
          <w:tcPr>
            <w:tcW w:w="421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255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GB"/>
              </w:rPr>
              <w:t xml:space="preserve">Hyphochytrium </w:t>
            </w: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gene (Accession number)</w:t>
            </w:r>
          </w:p>
        </w:tc>
        <w:tc>
          <w:tcPr>
            <w:tcW w:w="312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 xml:space="preserve">Oomycete exemplar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(Accession number)</w:t>
            </w:r>
          </w:p>
        </w:tc>
        <w:tc>
          <w:tcPr>
            <w:tcW w:w="325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Possible provenance of novel gene [and/or characteristic]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RCC1 repeat domain containing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Hypho2016_00014105/6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XP_012200151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EF-hand domain containing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Hypho2016_00009822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XP_008620138.1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Catalytic domain of AGC family Serine/Threonine Kinases (STkc_AGC) containing proteinHypho2016_00001388-RA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Hypho2016_00001388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XP_009830367.1*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VWD domain containing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Hypho2016_00005547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Pythium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genome sequence PYU1_G013767-201 from Ensembl.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Ankyrin repeat and bacterial Toll-like receptor domain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Hypho2016_00009105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ETK72757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FKBP-type peptidyl-prolyl cis-trans isomerase domain containing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Hypho2016_00003951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XP_009828623.1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Cysteine-rich domain containing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Hypho2016_00003868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AIG56228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Conserved hypothetical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Hypho2016_00005528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CCI42978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Large eukaryotic DNA virus major capsid protein</w:t>
            </w:r>
          </w:p>
        </w:tc>
        <w:tc>
          <w:tcPr>
            <w:tcW w:w="255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Hypho2016_00000981</w:t>
            </w:r>
          </w:p>
        </w:tc>
        <w:tc>
          <w:tcPr>
            <w:tcW w:w="312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ETI39689</w:t>
            </w:r>
          </w:p>
        </w:tc>
        <w:tc>
          <w:tcPr>
            <w:tcW w:w="32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Viral integration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both"/>
        <w:rPr>
          <w:rFonts w:ascii="Arial" w:hAnsi="Arial" w:eastAsia="Cambria" w:cs="Arial"/>
          <w:sz w:val="22"/>
          <w:szCs w:val="22"/>
          <w:lang w:val="en-GB"/>
        </w:rPr>
      </w:pPr>
      <w:r>
        <w:rPr>
          <w:rFonts w:eastAsia="Cambria"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pacing w:lineRule="auto" w:line="360" w:before="0" w:after="0"/>
        <w:contextualSpacing/>
        <w:jc w:val="both"/>
        <w:rPr/>
      </w:pPr>
      <w:r>
        <w:rPr>
          <w:rFonts w:eastAsia="Cambria" w:cs="Arial" w:ascii="Arial" w:hAnsi="Arial"/>
          <w:sz w:val="22"/>
          <w:szCs w:val="22"/>
          <w:lang w:val="en-GB"/>
        </w:rPr>
        <w:t>*Also detected in domain analyses – see Table S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969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LibreOffice/5.2.3.2$Linux_X86_64 LibreOffice_project/20m0$Build-2</Application>
  <Pages>1</Pages>
  <Words>147</Words>
  <Characters>1195</Characters>
  <CharactersWithSpaces>1301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2017-01-05T21:08:00Z</dcterms:created>
  <dc:creator>Microsoft Office User</dc:creator>
  <dc:description/>
  <dc:language>en-GB</dc:language>
  <cp:lastModifiedBy>Guy Leonard</cp:lastModifiedBy>
  <dcterms:modified xsi:type="dcterms:W3CDTF">2017-06-29T15:07:27Z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