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lang w:val="en-GB"/>
        </w:rPr>
      </w:pPr>
      <w:r>
        <w:rPr>
          <w:rFonts w:eastAsia="Cambria" w:cs="Arial" w:ascii="Arial" w:hAnsi="Arial"/>
          <w:b/>
          <w:sz w:val="22"/>
          <w:szCs w:val="22"/>
          <w:lang w:val="en-GB"/>
        </w:rPr>
        <w:t>Table S</w:t>
      </w:r>
      <w:r>
        <w:rPr>
          <w:rFonts w:eastAsia="Cambria" w:cs="Arial" w:ascii="Arial" w:hAnsi="Arial"/>
          <w:b/>
          <w:sz w:val="22"/>
          <w:szCs w:val="22"/>
          <w:lang w:val="en-GB"/>
        </w:rPr>
        <w:t>2</w:t>
      </w:r>
      <w:r>
        <w:rPr>
          <w:rFonts w:eastAsia="Cambria" w:cs="Arial" w:ascii="Arial" w:hAnsi="Arial"/>
          <w:b/>
          <w:sz w:val="22"/>
          <w:szCs w:val="22"/>
          <w:lang w:val="en-GB"/>
        </w:rPr>
        <w:t>. Novel Domain Architectures shared across the Pseudofungi.</w:t>
      </w:r>
    </w:p>
    <w:tbl>
      <w:tblPr>
        <w:tblW w:w="13686" w:type="dxa"/>
        <w:jc w:val="left"/>
        <w:tblInd w:w="-115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3225"/>
        <w:gridCol w:w="4648"/>
        <w:gridCol w:w="2832"/>
        <w:gridCol w:w="2980"/>
      </w:tblGrid>
      <w:tr>
        <w:trPr/>
        <w:tc>
          <w:tcPr>
            <w:tcW w:w="322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>Gene Name</w:t>
            </w:r>
          </w:p>
        </w:tc>
        <w:tc>
          <w:tcPr>
            <w:tcW w:w="464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>Domain Architecture</w:t>
            </w:r>
          </w:p>
        </w:tc>
        <w:tc>
          <w:tcPr>
            <w:tcW w:w="2832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>Oomycete exemplar (Accession number)</w:t>
            </w:r>
          </w:p>
        </w:tc>
        <w:tc>
          <w:tcPr>
            <w:tcW w:w="298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lang w:val="en-GB"/>
              </w:rPr>
              <w:t xml:space="preserve">Hyphochytrium </w:t>
            </w: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>homologue (Accession number)</w:t>
            </w:r>
          </w:p>
        </w:tc>
      </w:tr>
      <w:tr>
        <w:trPr/>
        <w:tc>
          <w:tcPr>
            <w:tcW w:w="3225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1-phosphatidylinositol 3-phosphate 5-kinase FAB1</w:t>
            </w:r>
          </w:p>
        </w:tc>
        <w:tc>
          <w:tcPr>
            <w:tcW w:w="4648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FYVE_like_SF-GAF</w:t>
            </w:r>
          </w:p>
        </w:tc>
        <w:tc>
          <w:tcPr>
            <w:tcW w:w="2832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Phytophthora nicotianae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(KUF83522)</w:t>
            </w:r>
          </w:p>
        </w:tc>
        <w:tc>
          <w:tcPr>
            <w:tcW w:w="2980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hypho_2015_8951 </w:t>
            </w:r>
            <w:r>
              <w:rPr>
                <w:rFonts w:cs="Arial" w:ascii="Arial" w:hAnsi="Arial"/>
                <w:sz w:val="18"/>
                <w:szCs w:val="18"/>
                <w:highlight w:val="yellow"/>
                <w:lang w:val="en-GB"/>
              </w:rPr>
              <w:t>(xxxxxxx)</w:t>
            </w:r>
          </w:p>
        </w:tc>
      </w:tr>
      <w:tr>
        <w:trPr/>
        <w:tc>
          <w:tcPr>
            <w:tcW w:w="322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Long-chain-fatty-acid--AMP ligase FadD29</w:t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FAAL-PKS_PP-BioF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Phytophthora nicotianae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(KUF80336)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hypho_2015_2264 </w:t>
            </w:r>
            <w:r>
              <w:rPr>
                <w:rFonts w:cs="Arial" w:ascii="Arial" w:hAnsi="Arial"/>
                <w:sz w:val="18"/>
                <w:szCs w:val="18"/>
                <w:highlight w:val="yellow"/>
                <w:lang w:val="en-GB"/>
              </w:rPr>
              <w:t>(xxxxxxx)</w:t>
            </w:r>
          </w:p>
        </w:tc>
      </w:tr>
      <w:tr>
        <w:trPr/>
        <w:tc>
          <w:tcPr>
            <w:tcW w:w="322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rhodanese domain-containing dual specificity protein phosphatase</w:t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DSPc-FYVE_like_SF- RHOD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Phytophthora nicotianae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(KUF77573)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hypho_2015_6440 </w:t>
            </w:r>
            <w:r>
              <w:rPr>
                <w:rFonts w:cs="Arial" w:ascii="Arial" w:hAnsi="Arial"/>
                <w:sz w:val="18"/>
                <w:szCs w:val="18"/>
                <w:highlight w:val="yellow"/>
                <w:lang w:val="en-GB"/>
              </w:rPr>
              <w:t>(xxxxxxx)</w:t>
            </w:r>
          </w:p>
        </w:tc>
      </w:tr>
      <w:tr>
        <w:trPr/>
        <w:tc>
          <w:tcPr>
            <w:tcW w:w="322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putative aminotransferase</w:t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AAT_like-dihydrodipicolinate reductase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Phytophthora sojae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(XP_009530580)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hypho_2015_8858 </w:t>
            </w:r>
            <w:r>
              <w:rPr>
                <w:rFonts w:cs="Arial" w:ascii="Arial" w:hAnsi="Arial"/>
                <w:sz w:val="18"/>
                <w:szCs w:val="18"/>
                <w:highlight w:val="yellow"/>
                <w:lang w:val="en-GB"/>
              </w:rPr>
              <w:t>(xxxxxxx)</w:t>
            </w:r>
          </w:p>
        </w:tc>
      </w:tr>
      <w:tr>
        <w:trPr/>
        <w:tc>
          <w:tcPr>
            <w:tcW w:w="322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putative callose synthase</w:t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Glucan_synthase-Sugar_tr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Phytophthora infestans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(XP_002998554)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hypho_2015_10833 </w:t>
            </w:r>
            <w:r>
              <w:rPr>
                <w:rFonts w:cs="Arial" w:ascii="Arial" w:hAnsi="Arial"/>
                <w:sz w:val="18"/>
                <w:szCs w:val="18"/>
                <w:highlight w:val="yellow"/>
                <w:lang w:val="en-GB"/>
              </w:rPr>
              <w:t>(xxxxxxx)</w:t>
            </w:r>
          </w:p>
        </w:tc>
      </w:tr>
      <w:tr>
        <w:trPr/>
        <w:tc>
          <w:tcPr>
            <w:tcW w:w="322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conserved hypothetical</w:t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RING-finger-tub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Phytophthora infestans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(XP_002898661)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hypho_2015_10326 </w:t>
            </w:r>
            <w:r>
              <w:rPr>
                <w:rFonts w:cs="Arial" w:ascii="Arial" w:hAnsi="Arial"/>
                <w:sz w:val="18"/>
                <w:szCs w:val="18"/>
                <w:highlight w:val="yellow"/>
                <w:lang w:val="en-GB"/>
              </w:rPr>
              <w:t>(xxxxxxx)</w:t>
            </w:r>
          </w:p>
        </w:tc>
      </w:tr>
      <w:tr>
        <w:trPr/>
        <w:tc>
          <w:tcPr>
            <w:tcW w:w="322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AGC/RSK/RSKP90 protein kinase</w:t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PH-PH-PH-STKc_AGC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Phytophthora infestans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(XP_008915041)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hypho_2015_11884 </w:t>
            </w:r>
            <w:r>
              <w:rPr>
                <w:rFonts w:cs="Arial" w:ascii="Arial" w:hAnsi="Arial"/>
                <w:sz w:val="18"/>
                <w:szCs w:val="18"/>
                <w:highlight w:val="yellow"/>
                <w:lang w:val="en-GB"/>
              </w:rPr>
              <w:t>(xxxxxxx)</w:t>
            </w:r>
          </w:p>
        </w:tc>
      </w:tr>
      <w:tr>
        <w:trPr/>
        <w:tc>
          <w:tcPr>
            <w:tcW w:w="322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phosphatidylinositol 3 and 4-kinase-like protein</w:t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PH-FYVE_scVPS27p-PI3Kc_II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Phytophthora sojae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(XP_009538551)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hypho_2015_11851 </w:t>
            </w:r>
            <w:r>
              <w:rPr>
                <w:rFonts w:cs="Arial" w:ascii="Arial" w:hAnsi="Arial"/>
                <w:sz w:val="18"/>
                <w:szCs w:val="18"/>
                <w:highlight w:val="yellow"/>
                <w:lang w:val="en-GB"/>
              </w:rPr>
              <w:t>(xxxxxxx)</w:t>
            </w:r>
          </w:p>
        </w:tc>
      </w:tr>
      <w:tr>
        <w:trPr/>
        <w:tc>
          <w:tcPr>
            <w:tcW w:w="322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PAX-interacting protein 1</w:t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TPR_11-Prefoldin_2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Phytophthora nicotianae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(KUF96058)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hypho_2015_14060 </w:t>
            </w:r>
            <w:r>
              <w:rPr>
                <w:rFonts w:cs="Arial" w:ascii="Arial" w:hAnsi="Arial"/>
                <w:sz w:val="18"/>
                <w:szCs w:val="18"/>
                <w:highlight w:val="yellow"/>
                <w:lang w:val="en-GB"/>
              </w:rPr>
              <w:t>(xxxxxxx)</w:t>
            </w:r>
          </w:p>
        </w:tc>
      </w:tr>
      <w:tr>
        <w:trPr/>
        <w:tc>
          <w:tcPr>
            <w:tcW w:w="322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histidine kinase A two component receptor</w:t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PAS-PAS-PAS-PAS-PAS-PAS-PAS-PAS-PAS-PAS-PAS-PAS-PAS-PAS-PAS-PAS-PAS-Histidine kinase-like ATPases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Phytophthora sojae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(XP_009526816.1)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hypho_2015_10675 </w:t>
            </w:r>
            <w:r>
              <w:rPr>
                <w:rFonts w:cs="Arial" w:ascii="Arial" w:hAnsi="Arial"/>
                <w:sz w:val="18"/>
                <w:szCs w:val="18"/>
                <w:highlight w:val="yellow"/>
                <w:lang w:val="en-GB"/>
              </w:rPr>
              <w:t>(xxxxxxx)</w:t>
            </w:r>
          </w:p>
        </w:tc>
      </w:tr>
      <w:tr>
        <w:trPr/>
        <w:tc>
          <w:tcPr>
            <w:tcW w:w="322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TKL protein kinase</w:t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S_TKc-DEP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Phytophthora parasitica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(ETM36095)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hypho_2015_4720 </w:t>
            </w:r>
            <w:r>
              <w:rPr>
                <w:rFonts w:cs="Arial" w:ascii="Arial" w:hAnsi="Arial"/>
                <w:sz w:val="18"/>
                <w:szCs w:val="18"/>
                <w:highlight w:val="yellow"/>
                <w:lang w:val="en-GB"/>
              </w:rPr>
              <w:t>(xxxxxxx)</w:t>
            </w:r>
          </w:p>
        </w:tc>
      </w:tr>
      <w:tr>
        <w:trPr/>
        <w:tc>
          <w:tcPr>
            <w:tcW w:w="322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L-aminoadipate-semialdehyde dehydrogenase large subunit</w:t>
            </w:r>
          </w:p>
        </w:tc>
        <w:tc>
          <w:tcPr>
            <w:tcW w:w="464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Abhydrolase_6-A_NRPS-SDR_e1</w:t>
            </w:r>
          </w:p>
        </w:tc>
        <w:tc>
          <w:tcPr>
            <w:tcW w:w="2832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Phytophthora infestans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(XP_002905400)</w:t>
            </w:r>
          </w:p>
        </w:tc>
        <w:tc>
          <w:tcPr>
            <w:tcW w:w="298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hypho_2015_3849 </w:t>
            </w:r>
            <w:r>
              <w:rPr>
                <w:rFonts w:cs="Arial" w:ascii="Arial" w:hAnsi="Arial"/>
                <w:sz w:val="18"/>
                <w:szCs w:val="18"/>
                <w:highlight w:val="yellow"/>
                <w:lang w:val="en-GB"/>
              </w:rPr>
              <w:t>(xxxxxxx)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2a1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LibreOffice/5.2.3.2$Linux_X86_64 LibreOffice_project/20m0$Build-2</Application>
  <Pages>1</Pages>
  <Words>142</Words>
  <Characters>1575</Characters>
  <CharactersWithSpaces>1663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2016-11-03T11:04:00Z</dcterms:created>
  <dc:creator>Microsoft Office User</dc:creator>
  <dc:description/>
  <dc:language>en-GB</dc:language>
  <cp:lastModifiedBy>Guy Leonard</cp:lastModifiedBy>
  <dcterms:modified xsi:type="dcterms:W3CDTF">2017-06-29T15:01:24Z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