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이성현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Sung Hyun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1993.08.21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sung.lee@gmail.com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광교로 12</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한국외국어대학교</w:t>
            </w:r>
          </w:p>
        </w:tc>
        <w:tc>
          <w:tcPr>
            <w:tcW w:w="2410" w:type="dxa"/>
            <w:vAlign w:val="center"/>
          </w:tcPr>
          <w:p>
            <w:r>
              <w:t>영어영문학과</w:t>
            </w:r>
          </w:p>
        </w:tc>
        <w:tc>
          <w:tcPr>
            <w:tcW w:w="1275" w:type="dxa"/>
            <w:vAlign w:val="center"/>
          </w:tcPr>
          <w:p>
            <w:r>
              <w:t>3.65/4.5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2022.06</w:t>
            </w:r>
          </w:p>
        </w:tc>
        <w:tc>
          <w:tcPr>
            <w:tcW w:w="1276" w:type="dxa"/>
            <w:shd w:val="clear" w:color="auto" w:fill="auto"/>
            <w:vAlign w:val="center"/>
          </w:tcPr>
          <w:p>
            <w:r>
              <w:t>재직중</w:t>
            </w:r>
          </w:p>
        </w:tc>
        <w:tc>
          <w:tcPr>
            <w:tcW w:w="2051" w:type="dxa"/>
            <w:shd w:val="clear" w:color="auto" w:fill="auto"/>
            <w:vAlign w:val="center"/>
          </w:tcPr>
          <w:p>
            <w:r>
              <w:t>신화금속</w:t>
            </w:r>
          </w:p>
        </w:tc>
        <w:tc>
          <w:tcPr>
            <w:tcW w:w="1523" w:type="dxa"/>
            <w:shd w:val="clear" w:color="auto" w:fill="auto"/>
            <w:vAlign w:val="center"/>
          </w:tcPr>
          <w:p>
            <w:r>
              <w:t>생산지원팀</w:t>
            </w:r>
          </w:p>
        </w:tc>
        <w:tc>
          <w:tcPr>
            <w:tcW w:w="1104" w:type="dxa"/>
            <w:shd w:val="clear" w:color="auto" w:fill="auto"/>
            <w:vAlign w:val="center"/>
          </w:tcPr>
          <w:p>
            <w:r>
              <w:t>대리</w:t>
            </w:r>
          </w:p>
        </w:tc>
        <w:tc>
          <w:tcPr>
            <w:tcW w:w="1417" w:type="dxa"/>
            <w:shd w:val="clear" w:color="auto" w:fill="auto"/>
            <w:vAlign w:val="center"/>
          </w:tcPr>
          <w:p>
            <w:r>
              <w:t>3400만원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2018.11</w:t>
            </w:r>
          </w:p>
        </w:tc>
        <w:tc>
          <w:tcPr>
            <w:tcW w:w="1276" w:type="dxa"/>
            <w:shd w:val="clear" w:color="auto" w:fill="auto"/>
            <w:vAlign w:val="center"/>
          </w:tcPr>
          <w:p>
            <w:r>
              <w:t>2022.05</w:t>
            </w:r>
          </w:p>
        </w:tc>
        <w:tc>
          <w:tcPr>
            <w:tcW w:w="2051" w:type="dxa"/>
            <w:shd w:val="clear" w:color="auto" w:fill="auto"/>
            <w:vAlign w:val="center"/>
          </w:tcPr>
          <w:p>
            <w:r>
              <w:t>태광물류</w:t>
            </w:r>
          </w:p>
        </w:tc>
        <w:tc>
          <w:tcPr>
            <w:tcW w:w="1523" w:type="dxa"/>
            <w:shd w:val="clear" w:color="auto" w:fill="auto"/>
            <w:vAlign w:val="center"/>
          </w:tcPr>
          <w:p>
            <w:r>
              <w:t>물류관리팀</w:t>
            </w:r>
          </w:p>
        </w:tc>
        <w:tc>
          <w:tcPr>
            <w:tcW w:w="1104" w:type="dxa"/>
            <w:shd w:val="clear" w:color="auto" w:fill="auto"/>
            <w:vAlign w:val="center"/>
          </w:tcPr>
          <w:p>
            <w:r>
              <w:t>주임</w:t>
            </w:r>
          </w:p>
        </w:tc>
        <w:tc>
          <w:tcPr>
            <w:tcW w:w="1417" w:type="dxa"/>
            <w:shd w:val="clear" w:color="auto" w:fill="auto"/>
            <w:vAlign w:val="center"/>
          </w:tcPr>
          <w:p>
            <w:r>
              <w:t>3100만원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
              <w:t>2016.03</w:t>
            </w:r>
          </w:p>
        </w:tc>
        <w:tc>
          <w:tcPr>
            <w:tcW w:w="1276" w:type="dxa"/>
            <w:shd w:val="clear" w:color="auto" w:fill="auto"/>
            <w:vAlign w:val="center"/>
          </w:tcPr>
          <w:p>
            <w:r>
              <w:t>2018.10</w:t>
            </w:r>
          </w:p>
        </w:tc>
        <w:tc>
          <w:tcPr>
            <w:tcW w:w="2051" w:type="dxa"/>
            <w:shd w:val="clear" w:color="auto" w:fill="auto"/>
            <w:vAlign w:val="center"/>
          </w:tcPr>
          <w:p>
            <w:r>
              <w:t>ABC출판사</w:t>
            </w:r>
          </w:p>
        </w:tc>
        <w:tc>
          <w:tcPr>
            <w:tcW w:w="1523" w:type="dxa"/>
            <w:shd w:val="clear" w:color="auto" w:fill="auto"/>
            <w:vAlign w:val="center"/>
          </w:tcPr>
          <w:p>
            <w:r>
              <w:t>편집부</w:t>
            </w:r>
          </w:p>
        </w:tc>
        <w:tc>
          <w:tcPr>
            <w:tcW w:w="1104" w:type="dxa"/>
            <w:shd w:val="clear" w:color="auto" w:fill="auto"/>
            <w:vAlign w:val="center"/>
          </w:tcPr>
          <w:p>
            <w:r>
              <w:t>사원</w:t>
            </w:r>
          </w:p>
        </w:tc>
        <w:tc>
          <w:tcPr>
            <w:tcW w:w="1417" w:type="dxa"/>
            <w:shd w:val="clear" w:color="auto" w:fill="auto"/>
            <w:vAlign w:val="center"/>
          </w:tcPr>
          <w:p>
            <w:r>
              <w:t>2600만원</w:t>
            </w:r>
          </w:p>
        </w:tc>
        <w:tc>
          <w:tcPr>
            <w:tcW w:w="2051" w:type="dxa"/>
            <w:shd w:val="clear" w:color="auto" w:fill="auto"/>
            <w:vAlign w:val="center"/>
          </w:tcPr>
          <w:p>
            <w:r>
              <w:t>이직</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DELF</w:t>
            </w:r>
          </w:p>
        </w:tc>
        <w:tc>
          <w:tcPr>
            <w:tcW w:w="1777" w:type="dxa"/>
            <w:shd w:val="clear" w:color="auto" w:fill="auto"/>
            <w:vAlign w:val="center"/>
          </w:tcPr>
          <w:p>
            <w:r>
              <w:t>B</w:t>
            </w:r>
          </w:p>
        </w:tc>
        <w:tc>
          <w:tcPr>
            <w:tcW w:w="1778" w:type="dxa"/>
            <w:tcBorders>
              <w:right w:val="double" w:sz="4" w:space="0" w:color="auto"/>
            </w:tcBorders>
            <w:shd w:val="clear" w:color="auto" w:fill="auto"/>
            <w:vAlign w:val="center"/>
          </w:tcPr>
          <w:p>
            <w:r>
              <w:t>2020.08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한국어능력시험</w:t>
            </w:r>
          </w:p>
        </w:tc>
        <w:tc>
          <w:tcPr>
            <w:tcW w:w="1777" w:type="dxa"/>
            <w:tcBorders>
              <w:left w:val="single" w:sz="4" w:space="0" w:color="auto"/>
            </w:tcBorders>
            <w:shd w:val="clear" w:color="auto" w:fill="auto"/>
            <w:vAlign w:val="center"/>
          </w:tcPr>
          <w:p>
            <w:r>
              <w:t>990점</w:t>
            </w:r>
          </w:p>
        </w:tc>
        <w:tc>
          <w:tcPr>
            <w:tcW w:w="1778" w:type="dxa"/>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
              <w:t>JLPT</w:t>
            </w:r>
          </w:p>
        </w:tc>
        <w:tc>
          <w:tcPr>
            <w:tcW w:w="1777" w:type="dxa"/>
            <w:tcBorders>
              <w:bottom w:val="single" w:sz="4" w:space="0" w:color="auto"/>
            </w:tcBorders>
            <w:shd w:val="clear" w:color="auto" w:fill="auto"/>
            <w:vAlign w:val="center"/>
          </w:tcPr>
          <w:p>
            <w:r>
              <w:t>HSK6</w:t>
            </w:r>
          </w:p>
        </w:tc>
        <w:tc>
          <w:tcPr>
            <w:tcW w:w="1778" w:type="dxa"/>
            <w:tcBorders>
              <w:bottom w:val="single" w:sz="4" w:space="0" w:color="auto"/>
              <w:right w:val="double" w:sz="4" w:space="0" w:color="auto"/>
            </w:tcBorders>
            <w:shd w:val="clear" w:color="auto" w:fill="auto"/>
            <w:vAlign w:val="center"/>
          </w:tcPr>
          <w:p>
            <w:r>
              <w:t>2020.11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보육교사</w:t>
            </w:r>
          </w:p>
        </w:tc>
        <w:tc>
          <w:tcPr>
            <w:tcW w:w="1777" w:type="dxa"/>
            <w:tcBorders>
              <w:left w:val="single" w:sz="4" w:space="0" w:color="auto"/>
              <w:bottom w:val="single" w:sz="4" w:space="0" w:color="auto"/>
            </w:tcBorders>
            <w:shd w:val="clear" w:color="auto" w:fill="auto"/>
            <w:vAlign w:val="center"/>
          </w:tcPr>
          <w:p>
            <w:r>
              <w:t>2급</w:t>
            </w:r>
          </w:p>
        </w:tc>
        <w:tc>
          <w:tcPr>
            <w:tcW w:w="1778" w:type="dxa"/>
            <w:tcBorders>
              <w:bottom w:val="single" w:sz="4" w:space="0" w:color="auto"/>
            </w:tcBorders>
            <w:shd w:val="clear" w:color="auto" w:fill="auto"/>
            <w:vAlign w:val="center"/>
          </w:tcPr>
          <w:p>
            <w:r>
              <w:t>ETS</w:t>
            </w:r>
          </w:p>
        </w:tc>
      </w:tr>
      <w:tr w:rsidR="00B05D57" w:rsidTr="008B2216">
        <w:trPr>
          <w:trHeight w:val="414"/>
        </w:trPr>
        <w:tc>
          <w:tcPr>
            <w:tcW w:w="1777" w:type="dxa"/>
            <w:tcBorders>
              <w:bottom w:val="single" w:sz="4" w:space="0" w:color="auto"/>
            </w:tcBorders>
            <w:shd w:val="clear" w:color="auto" w:fill="auto"/>
            <w:vAlign w:val="center"/>
          </w:tcPr>
          <w:p>
            <w:r>
              <w:t>DELE</w:t>
            </w:r>
          </w:p>
        </w:tc>
        <w:tc>
          <w:tcPr>
            <w:tcW w:w="1777" w:type="dxa"/>
            <w:tcBorders>
              <w:bottom w:val="single" w:sz="4" w:space="0" w:color="auto"/>
            </w:tcBorders>
            <w:shd w:val="clear" w:color="auto" w:fill="auto"/>
            <w:vAlign w:val="center"/>
          </w:tcPr>
          <w:p>
            <w:r>
              <w:t>A</w:t>
            </w:r>
          </w:p>
        </w:tc>
        <w:tc>
          <w:tcPr>
            <w:tcW w:w="1778" w:type="dxa"/>
            <w:tcBorders>
              <w:bottom w:val="single" w:sz="4" w:space="0" w:color="auto"/>
              <w:right w:val="double" w:sz="4" w:space="0" w:color="auto"/>
            </w:tcBorders>
            <w:shd w:val="clear" w:color="auto" w:fill="auto"/>
            <w:vAlign w:val="center"/>
          </w:tcPr>
          <w:p>
            <w:r>
              <w:t>2023.06</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사회복지사</w:t>
            </w:r>
          </w:p>
        </w:tc>
        <w:tc>
          <w:tcPr>
            <w:tcW w:w="1777" w:type="dxa"/>
            <w:tcBorders>
              <w:left w:val="single" w:sz="4" w:space="0" w:color="auto"/>
              <w:bottom w:val="single" w:sz="4" w:space="0" w:color="auto"/>
            </w:tcBorders>
            <w:shd w:val="clear" w:color="auto" w:fill="auto"/>
            <w:vAlign w:val="center"/>
          </w:tcPr>
          <w:p>
            <w:r>
              <w:t>N2</w:t>
            </w:r>
          </w:p>
        </w:tc>
        <w:tc>
          <w:tcPr>
            <w:tcW w:w="1778" w:type="dxa"/>
            <w:tcBorders>
              <w:bottom w:val="single" w:sz="4" w:space="0" w:color="auto"/>
            </w:tcBorders>
            <w:shd w:val="clear" w:color="auto" w:fill="auto"/>
            <w:vAlign w:val="center"/>
          </w:tcPr>
          <w:p>
            <w:r>
              <w:t>한국어능력시험원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산업의 정교함과 혁신에 매료되어 LS오토모티브의 부품생산팀 PRESS 분야에 지원하게 되었습니다. 저는 지난 경력을 통해 제조업과 물류 관리의 체계적인 운영 및 생산 공정을 직접 경험하며, 품질과 효율성을 동시에 달성하는 데 필요한 역량을 쌓아왔습니다. 특히 현재 신화금속에서 생산지원팀 대리로 근무하며 금속 부품 제조와 생산 공정 최적화에 기여한 경험은 LS오토모티브의 정밀한 부품 생산 요구에 부합한다고 자부합니다.  </w:t>
              <w:br/>
              <w:br/>
              <w:t>입사 후에는 PRESS 설비 운영 및 금형 셋업 업무를 철저히 익혀 안정적인 양산 공정과 품질 관리에 기여하겠습니다. 또한, 자주검사와 포장 프로세스까지 세심하게 관리하여 고객 신뢰를 확보하는 데 힘쓸 것입니다. LS오토모티브가 제공하는 기술 기반의 자동차 인터페이스가 글로벌 시장에서 더 큰 가치를 창출할 수 있도록 제 경험과 열정을 바탕으로 최선을 다하겠습니다.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어려서부터 손으로 무언가를 만들어내는 일에 흥미를 느꼈습니다. 작은 부품이 모여 하나의 완성품이 되는 과정을 지켜보며 느꼈던 감동은 저의 직업적 방향성을 결정짓는 계기가 되었습니다. 이러한 관심은 실제 업무에서도 열정으로 이어졌습니다.</w:t>
              <w:br/>
              <w:br/>
              <w:t>신화금속 생산지원팀에서 근무하며 생산 프로세스의 효율성을 높이고, 현장 문제를 신속히 해결하는 데 집중해왔습니다. 이전 태광물류에서는 물류 관리와 공급망 최적화 경험을 쌓았고, ABC출판사에서는 세밀한 작업과 시간 관리 능력을 배양했습니다. 이처럼 다양한 분야에서 축적해온 경험은 생산 현장에서의 체계적인 업무 수행 능력과 문제 해결 역량을 키우는 데 큰 자산이 되었습니다.</w:t>
              <w:br/>
              <w:br/>
              <w:t>특히 PRESS 설비와 관련된 업무는 정확성과 책임감이 핵심이라 생각합니다. 저는 꼼꼼한 성격과 주도적인 태도를 바탕으로 금형 셋업이나 품질 검사와 같은 세부적인 작업에도 자신감을 가지고 임할 수 있습니다. LS오토모티브의 정밀한 부품 생산 과정에 기여하며, 더 나아가 귀사의 기술력 강화와 품질 향상에 이바지하고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이성현입니다. 저는 다양한 산업 분야에서 협업과 리더십을 발휘하며 성과를 만들어온 경험이 있습니다. 신화금속 생산지원팀에서 대리로 근무하며 공정 효율화를 위한 팀 간 협업을 주도하고, 생산성과 품질 향상을 이끌어낸 경험이 있습니다. 특히 부서 간 소통과 조율을 통해 문제를 해결하며 팀의 목표를 효과적으로 달성할 수 있었습니다.</w:t>
              <w:br/>
              <w:br/>
              <w:t>태광물류 재직 시에는 물류관리팀 주임으로서 팀원들과의 원활한 협력을 통해 물류 프로세스를 최적화하고, 고객사 요구에 맞춘 정확한 납품을 실현한 바 있습니다. 이러한 경험을 통해 협력의 중요성을 체감하며, 팀의 성과를 극대화하는 리더십 역량을 키웠습니다.</w:t>
              <w:br/>
              <w:br/>
              <w:t>LS오토모티브 부품생산팀의 PRESS 분야는 정밀성과 협업이 중요한 만큼, 저의 경험과 역량이 적합하다고 확신합니다. 현장 중심의 유연한 리더십과 협업 능력을 바탕으로 품질 높은 부품 생산과 안정적인 공정 운영에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안녕하세요, 이성현입니다. 저는 제조업과 물류 관리를 아우르는 다양한 경험을 통해 체계적인 생산 관리와 효율적인 업무 수행 능력을 갖추게 되었습니다. 신화금속 생산지원팀에서 대리로 근무하며 금형 셋업, 설비 운영, 공정 관리 등 생산 현장의 전반적인 흐름을 이해하고 개선안을 도출하며 생산성을 높이는 데 기여했습니다. 또한, 태광물류 물류관리팀에서는 자재 관리와 물류 프로세스를 최적화하며 생산과 물류 간의 협업을 원활히 이끌어낸 경험이 있습니다.</w:t>
              <w:br/>
              <w:br/>
              <w:t>저는 특히 정밀성과 책임감이 요구되는 업무를 수행하며, 세부적인 프로세스를 놓치지 않는 꼼꼼함을 길러왔습니다. PRESS 설비 양산 운영 및 금형 셋업 업무는 과거 경험과 기술력이 요구되는 분야로, 저는 이를 효과적으로 수행할 자신이 있습니다. LS오토모티브의 자동차 인터페이스 제품 제작에 기여하며, 품질과 생산성을 동시에 높이는 주도적인 역할을 하고 싶습니다.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2022.06</w:t>
            </w:r>
          </w:p>
        </w:tc>
        <w:tc>
          <w:tcPr>
            <w:tcW w:w="1276" w:type="dxa"/>
            <w:shd w:val="clear" w:color="auto" w:fill="auto"/>
            <w:vAlign w:val="center"/>
          </w:tcPr>
          <w:p>
            <w:r>
              <w:t>재직중</w:t>
            </w:r>
          </w:p>
        </w:tc>
        <w:tc>
          <w:tcPr>
            <w:tcW w:w="2051" w:type="dxa"/>
            <w:shd w:val="clear" w:color="auto" w:fill="auto"/>
            <w:vAlign w:val="center"/>
          </w:tcPr>
          <w:p>
            <w:r>
              <w:t>신화금속</w:t>
            </w:r>
          </w:p>
        </w:tc>
        <w:tc>
          <w:tcPr>
            <w:tcW w:w="1523" w:type="dxa"/>
            <w:shd w:val="clear" w:color="auto" w:fill="auto"/>
            <w:vAlign w:val="center"/>
          </w:tcPr>
          <w:p>
            <w:r>
              <w:t>생산지원팀</w:t>
            </w:r>
          </w:p>
        </w:tc>
        <w:tc>
          <w:tcPr>
            <w:tcW w:w="1104" w:type="dxa"/>
            <w:shd w:val="clear" w:color="auto" w:fill="auto"/>
            <w:vAlign w:val="center"/>
          </w:tcPr>
          <w:p>
            <w:r>
              <w:t>대리</w:t>
            </w:r>
          </w:p>
        </w:tc>
        <w:tc>
          <w:tcPr>
            <w:tcW w:w="1417" w:type="dxa"/>
            <w:shd w:val="clear" w:color="auto" w:fill="auto"/>
            <w:vAlign w:val="center"/>
          </w:tcPr>
          <w:p>
            <w:r>
              <w:t>3400만원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생산지원팀에서 대리로 근무하며 생산 공정의 효율성을 극대화하고 안정적인 생산 환경을 구축하는 데 중추적인 역할을 수행하였습니다. 주요 업무로는 생산 계획 수립 및 조정을 통해 자재 공급과 인력 배치를 최적화하고, 생산 공정에서 발생하는 문제를 신속히 분석하여 개선 방안을 제시하는 역할을 맡았습니다. 특히, 생산 설비 가동률 향상을 목표로 한 프로젝트를 주도하여 설비 점검 주기와 유지보수 프로세스를 개선, 설비 가동률을 15% 향상시키는 성과를 달성하였습니다. 또한, 생산 데이터 분석 및 KPI 관리 체계를 구축하여 관리 효율성을 높이고, 이를 통해 월간 생산성 보고서를 체계적으로 작성 및 보고하였습니다. 지속적인 공정 개선 활동을 통해 Lean Manufacturing 및 Six Sigma 기법을 실무에 적용하였으며, 이를 통해 비용 절감 및 품질 향상에 기여하였습니다. 협력 부서와의 원활한 커뮤니케이션을 바탕으로 생산성과 품질 목표를 달성하며, 생산 환경의 안정화를 이끌었습니다.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2018.11</w:t>
            </w:r>
          </w:p>
        </w:tc>
        <w:tc>
          <w:tcPr>
            <w:tcW w:w="1276" w:type="dxa"/>
            <w:shd w:val="clear" w:color="auto" w:fill="auto"/>
            <w:vAlign w:val="center"/>
          </w:tcPr>
          <w:p>
            <w:r>
              <w:t>2022.05</w:t>
            </w:r>
          </w:p>
        </w:tc>
        <w:tc>
          <w:tcPr>
            <w:tcW w:w="2051" w:type="dxa"/>
            <w:shd w:val="clear" w:color="auto" w:fill="auto"/>
            <w:vAlign w:val="center"/>
          </w:tcPr>
          <w:p>
            <w:r>
              <w:t>태광물류</w:t>
            </w:r>
          </w:p>
        </w:tc>
        <w:tc>
          <w:tcPr>
            <w:tcW w:w="1523" w:type="dxa"/>
            <w:shd w:val="clear" w:color="auto" w:fill="auto"/>
            <w:vAlign w:val="center"/>
          </w:tcPr>
          <w:p>
            <w:r>
              <w:t>물류관리팀</w:t>
            </w:r>
          </w:p>
        </w:tc>
        <w:tc>
          <w:tcPr>
            <w:tcW w:w="1104" w:type="dxa"/>
            <w:shd w:val="clear" w:color="auto" w:fill="auto"/>
            <w:vAlign w:val="center"/>
          </w:tcPr>
          <w:p>
            <w:r>
              <w:t>주임</w:t>
            </w:r>
          </w:p>
        </w:tc>
        <w:tc>
          <w:tcPr>
            <w:tcW w:w="1417" w:type="dxa"/>
            <w:shd w:val="clear" w:color="auto" w:fill="auto"/>
            <w:vAlign w:val="center"/>
          </w:tcPr>
          <w:p>
            <w:r>
              <w:t>3100만원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물류관리팀 주임으로 근무하며 물류 운영 전반에 걸친 관리 및 최적화에 중추적인 역할을 수행하였습니다. 주요 업무로는 물류 프로세스 분석 및 개선, 출하·입고 관리, 재고 관리 시스템 운영, 그리고 협력업체와의 커뮤니케이션을 통해 원활한 물류 흐름을 유지하는 것이었습니다. 특히, 물류 비용 절감 프로젝트를 주도하여 데이터 분석 기반의 물류 동선 최적화를 구현, 연간 물류 비용을 약 10% 절감하는 성과를 달성하였습니다. 또한, ERP 시스템을 활용한 재고 관리 정확도를 95% 이상으로 개선하며 재고 누락 및 초과 문제를 해결하였습니다. 이 과정에서 데이터 분석 역량, 문제 해결 능력, 협업 및 커뮤니케이션 능력을 강화하였으며, 효율적인 물류 시스템 구축과 관리에 대한 전문성을 갖추게 되었습니다. 구체적으로, 계절성 상품 물류 수요 예측 프로젝트를 통해 20% 이상의 배송 지연률 감소를 이끌어내며 고객 만족도를 제고한 경험이 있습니다. 이러한 경험을 통해 물류 관리의 전반적인 프로세스를 체계적으로 이해하고, 실질적인 개선 방안을 도출할 수 있는 능력을 개발하였습니다.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2018.10</w:t>
            </w:r>
          </w:p>
        </w:tc>
        <w:tc>
          <w:tcPr>
            <w:tcW w:w="2051" w:type="dxa"/>
            <w:shd w:val="clear" w:color="auto" w:fill="auto"/>
            <w:vAlign w:val="center"/>
          </w:tcPr>
          <w:p>
            <w:r>
              <w:t>ABC출판사</w:t>
            </w:r>
          </w:p>
        </w:tc>
        <w:tc>
          <w:tcPr>
            <w:tcW w:w="1523" w:type="dxa"/>
            <w:shd w:val="clear" w:color="auto" w:fill="auto"/>
            <w:vAlign w:val="center"/>
          </w:tcPr>
          <w:p>
            <w:r>
              <w:t>편집부</w:t>
            </w:r>
          </w:p>
        </w:tc>
        <w:tc>
          <w:tcPr>
            <w:tcW w:w="1104" w:type="dxa"/>
            <w:shd w:val="clear" w:color="auto" w:fill="auto"/>
            <w:vAlign w:val="center"/>
          </w:tcPr>
          <w:p>
            <w:r>
              <w:t>사원</w:t>
            </w:r>
          </w:p>
        </w:tc>
        <w:tc>
          <w:tcPr>
            <w:tcW w:w="1417" w:type="dxa"/>
            <w:shd w:val="clear" w:color="auto" w:fill="auto"/>
            <w:vAlign w:val="center"/>
          </w:tcPr>
          <w:p>
            <w:r>
              <w:t>2600만원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출판 편집부에서 다양한 도서 기획 및 편집 업무를 담당하며 출판 전반의 프로세스를 체계적으로 관리하였습니다. 원고 검토부터 교정, 교열, 디자인 협업, 인쇄 감리까지 전 과정을 주도적으로 수행하며, 약 20권 이상의 단행본 출간에 기여했습니다. 특히, 시장 분석을 기반으로 한 기획안을 제안하여, 독자를 타겟팅한 베스트셀러 1권을 출간하는 성과를 달성하였습니다. 또한, 작가 및 외부 필진과의 협업을 통해 원활한 커뮤니케이션을 유지하며, 일정 관리 능력을 바탕으로 프로젝트를 기한 내 성공적으로 완료했습니다.</w:t>
              <w:br/>
              <w:br/>
              <w:t>이 과정에서 세밀한 분석력과 논리적인 편집 감각을 길렀으며, 정밀한 교정 능력과 출판 소프트웨어(Adobe InDesign 등) 활용 역량을 강화했습니다. 예를 들어, 교정 단계에서 오탈자를 사전에 완벽히 검출하여 제작 비용을 절감한 사례가 있습니다. 이러한 경험을 통해 출판물의 품질 향상과 독자 만족도를 극대화하는 데 기여하였습니다.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