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이현진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3500만원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Hyunjin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1992.07.21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hyunjin.lee92@gmail.com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광교로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031-234-5678</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면제</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2011.03</w:t>
            </w:r>
          </w:p>
        </w:tc>
        <w:tc>
          <w:tcPr>
            <w:tcW w:w="1276" w:type="dxa"/>
            <w:vAlign w:val="center"/>
          </w:tcPr>
          <w:p>
            <w:r>
              <w:t>2015.02</w:t>
            </w:r>
          </w:p>
        </w:tc>
        <w:tc>
          <w:tcPr>
            <w:tcW w:w="2410" w:type="dxa"/>
            <w:vAlign w:val="center"/>
          </w:tcPr>
          <w:p>
            <w:r>
              <w:t>한양대학교</w:t>
            </w:r>
          </w:p>
        </w:tc>
        <w:tc>
          <w:tcPr>
            <w:tcW w:w="2410" w:type="dxa"/>
            <w:vAlign w:val="center"/>
          </w:tcPr>
          <w:p>
            <w:r>
              <w:t>화학과</w:t>
            </w:r>
          </w:p>
        </w:tc>
        <w:tc>
          <w:tcPr>
            <w:tcW w:w="1275" w:type="dxa"/>
            <w:vAlign w:val="center"/>
          </w:tcPr>
          <w:p>
            <w:r>
              <w:t>3.72/4.5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2019.01</w:t>
            </w:r>
          </w:p>
        </w:tc>
        <w:tc>
          <w:tcPr>
            <w:tcW w:w="1276" w:type="dxa"/>
            <w:shd w:val="clear" w:color="auto" w:fill="auto"/>
            <w:vAlign w:val="center"/>
          </w:tcPr>
          <w:p>
            <w:r>
              <w:t>재직중</w:t>
            </w:r>
          </w:p>
        </w:tc>
        <w:tc>
          <w:tcPr>
            <w:tcW w:w="2051" w:type="dxa"/>
            <w:shd w:val="clear" w:color="auto" w:fill="auto"/>
            <w:vAlign w:val="center"/>
          </w:tcPr>
          <w:p>
            <w:r>
              <w:t>우진산전</w:t>
            </w:r>
          </w:p>
        </w:tc>
        <w:tc>
          <w:tcPr>
            <w:tcW w:w="1523" w:type="dxa"/>
            <w:shd w:val="clear" w:color="auto" w:fill="auto"/>
            <w:vAlign w:val="center"/>
          </w:tcPr>
          <w:p>
            <w:r>
              <w:t>생산관리부</w:t>
            </w:r>
          </w:p>
        </w:tc>
        <w:tc>
          <w:tcPr>
            <w:tcW w:w="1104" w:type="dxa"/>
            <w:shd w:val="clear" w:color="auto" w:fill="auto"/>
            <w:vAlign w:val="center"/>
          </w:tcPr>
          <w:p>
            <w:r>
              <w:t>대리</w:t>
            </w:r>
          </w:p>
        </w:tc>
        <w:tc>
          <w:tcPr>
            <w:tcW w:w="1417" w:type="dxa"/>
            <w:shd w:val="clear" w:color="auto" w:fill="auto"/>
            <w:vAlign w:val="center"/>
          </w:tcPr>
          <w:p>
            <w:r>
              <w:t>3800만원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2015.03</w:t>
            </w:r>
          </w:p>
        </w:tc>
        <w:tc>
          <w:tcPr>
            <w:tcW w:w="1276" w:type="dxa"/>
            <w:shd w:val="clear" w:color="auto" w:fill="auto"/>
            <w:vAlign w:val="center"/>
          </w:tcPr>
          <w:p>
            <w:r>
              <w:t>2018.12</w:t>
            </w:r>
          </w:p>
        </w:tc>
        <w:tc>
          <w:tcPr>
            <w:tcW w:w="2051" w:type="dxa"/>
            <w:shd w:val="clear" w:color="auto" w:fill="auto"/>
            <w:vAlign w:val="center"/>
          </w:tcPr>
          <w:p>
            <w:r>
              <w:t>대덕전자</w:t>
            </w:r>
          </w:p>
        </w:tc>
        <w:tc>
          <w:tcPr>
            <w:tcW w:w="1523" w:type="dxa"/>
            <w:shd w:val="clear" w:color="auto" w:fill="auto"/>
            <w:vAlign w:val="center"/>
          </w:tcPr>
          <w:p>
            <w:r>
              <w:t>품질관리팀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IELTS</w:t>
            </w:r>
          </w:p>
        </w:tc>
        <w:tc>
          <w:tcPr>
            <w:tcW w:w="1777" w:type="dxa"/>
            <w:shd w:val="clear" w:color="auto" w:fill="auto"/>
            <w:vAlign w:val="center"/>
          </w:tcPr>
          <w:p>
            <w:r>
              <w:t>800</w:t>
            </w:r>
          </w:p>
        </w:tc>
        <w:tc>
          <w:tcPr>
            <w:tcW w:w="1778" w:type="dxa"/>
            <w:tcBorders>
              <w:right w:val="double" w:sz="4" w:space="0" w:color="auto"/>
            </w:tcBorders>
            <w:shd w:val="clear" w:color="auto" w:fill="auto"/>
            <w:vAlign w:val="center"/>
          </w:tcPr>
          <w:p>
            <w:r>
              <w:t>2024.07</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약사</w:t>
            </w:r>
          </w:p>
        </w:tc>
        <w:tc>
          <w:tcPr>
            <w:tcW w:w="1777" w:type="dxa"/>
            <w:tcBorders>
              <w:left w:val="single" w:sz="4" w:space="0" w:color="auto"/>
            </w:tcBorders>
            <w:shd w:val="clear" w:color="auto" w:fill="auto"/>
            <w:vAlign w:val="center"/>
          </w:tcPr>
          <w:p>
            <w:r>
              <w:t>850점</w:t>
            </w:r>
          </w:p>
        </w:tc>
        <w:tc>
          <w:tcPr>
            <w:tcW w:w="1778" w:type="dxa"/>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
              <w:t>DELE</w:t>
            </w:r>
          </w:p>
        </w:tc>
        <w:tc>
          <w:tcPr>
            <w:tcW w:w="1777" w:type="dxa"/>
            <w:tcBorders>
              <w:bottom w:val="single" w:sz="4" w:space="0" w:color="auto"/>
            </w:tcBorders>
            <w:shd w:val="clear" w:color="auto" w:fill="auto"/>
            <w:vAlign w:val="center"/>
          </w:tcPr>
          <w:p>
            <w:r>
              <w:t>C</w:t>
            </w:r>
          </w:p>
        </w:tc>
        <w:tc>
          <w:tcPr>
            <w:tcW w:w="1778" w:type="dxa"/>
            <w:tcBorders>
              <w:bottom w:val="single" w:sz="4" w:space="0" w:color="auto"/>
              <w:right w:val="double" w:sz="4" w:space="0" w:color="auto"/>
            </w:tcBorders>
            <w:shd w:val="clear" w:color="auto" w:fill="auto"/>
            <w:vAlign w:val="center"/>
          </w:tcPr>
          <w:p>
            <w:r>
              <w:t>2024.03</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기계기사</w:t>
            </w:r>
          </w:p>
        </w:tc>
        <w:tc>
          <w:tcPr>
            <w:tcW w:w="1777" w:type="dxa"/>
            <w:tcBorders>
              <w:left w:val="single" w:sz="4" w:space="0" w:color="auto"/>
              <w:bottom w:val="single" w:sz="4" w:space="0" w:color="auto"/>
            </w:tcBorders>
            <w:shd w:val="clear" w:color="auto" w:fill="auto"/>
            <w:vAlign w:val="center"/>
          </w:tcPr>
          <w:p>
            <w:r>
              <w:t>N1</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
              <w:t>HSK</w:t>
            </w:r>
          </w:p>
        </w:tc>
        <w:tc>
          <w:tcPr>
            <w:tcW w:w="1777" w:type="dxa"/>
            <w:tcBorders>
              <w:bottom w:val="single" w:sz="4" w:space="0" w:color="auto"/>
            </w:tcBorders>
            <w:shd w:val="clear" w:color="auto" w:fill="auto"/>
            <w:vAlign w:val="center"/>
          </w:tcPr>
          <w:p>
            <w:r>
              <w:t>HSK6</w:t>
            </w:r>
          </w:p>
        </w:tc>
        <w:tc>
          <w:tcPr>
            <w:tcW w:w="1778" w:type="dxa"/>
            <w:tcBorders>
              <w:bottom w:val="single" w:sz="4" w:space="0" w:color="auto"/>
              <w:right w:val="double" w:sz="4" w:space="0" w:color="auto"/>
            </w:tcBorders>
            <w:shd w:val="clear" w:color="auto" w:fill="auto"/>
            <w:vAlign w:val="center"/>
          </w:tcPr>
          <w:p>
            <w:r>
              <w:t>2020.11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토플</w:t>
            </w:r>
          </w:p>
        </w:tc>
        <w:tc>
          <w:tcPr>
            <w:tcW w:w="1777" w:type="dxa"/>
            <w:tcBorders>
              <w:left w:val="single" w:sz="4" w:space="0" w:color="auto"/>
              <w:bottom w:val="single" w:sz="4" w:space="0" w:color="auto"/>
            </w:tcBorders>
            <w:shd w:val="clear" w:color="auto" w:fill="auto"/>
            <w:vAlign w:val="center"/>
          </w:tcPr>
          <w:p>
            <w:r>
              <w:t>1급</w:t>
            </w:r>
          </w:p>
        </w:tc>
        <w:tc>
          <w:tcPr>
            <w:tcW w:w="1778" w:type="dxa"/>
            <w:tcBorders>
              <w:bottom w:val="single" w:sz="4" w:space="0" w:color="auto"/>
            </w:tcBorders>
            <w:shd w:val="clear" w:color="auto" w:fill="auto"/>
            <w:vAlign w:val="center"/>
          </w:tcPr>
          <w:p>
            <w:r>
              <w:t>영국문화원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산업의 혁신을 선도하는 LS오토모티브의 부품생산팀 PRESS 분야에 지원하게 되어 기쁘게 생각합니다. 저는 대덕전자 품질관리팀에서 품질 개선과 공정 관리의 기초를 다졌으며, 우진산전 생산관리부에서는 생산 프로세스 최적화와 효율성 증대에 기여하며 실질적인 성과를 만들어왔습니다. 이 과정에서 쌓은 경험은 자동차 부품 양산 및 품질 관리에 있어 중요한 자산이 될 것이라 확신합니다.</w:t>
              <w:br/>
              <w:br/>
              <w:t>LS오토모티브가 생산하는 자동차 인터페이스 부품은 안전성과 사용자 경험의 핵심적인 역할을 한다고 생각합니다. PRESS 설비 운영과 금형 셋업, 자주검사 등 이번 채용 분야의 주요 업무는 제가 익숙하게 다뤄온 영역이며, 이를 통해 안정적인 생산과 품질 확보에 기여할 자신이 있습니다. 입사 후, 제 경험과 역량을 바탕으로 PRESS 공정의 효율화를 도모하고, 회사가 추구하는 기술 혁신과 품질 강화를 위해 최선을 다하겠습니다. 나아가 글로벌 시장에서 LS오토모티브가 더욱 인정받는 데 기여하는 구성원이 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어릴 적부터 기계와 전자기기에 관심이 많아 분해하고 조립하며 원리를 탐구하는 데 흥미를 느꼈습니다. 이러한 호기심은 대학 전공 선택과 이후 제조업 분야 진출로 자연스럽게 이어졌습니다. 대덕전자에서 품질관리팀 사원으로 근무하며 공정 품질 개선 및 문제 해결 능력을 키웠고, 우진산전 생산관리부에서는 대리로서 생산성과 효율성을 높이기 위한 관리와 팀 협업을 경험하며 종합적인 제조 공정 관리 역량을 쌓았습니다.  </w:t>
              <w:br/>
              <w:br/>
              <w:t>특히, 생산 현장에서의 실질적인 문제 해결과 개선 활동에 강점을 가지고 있습니다. 작업자들과의 원활한 소통을 통해 문제의 원인을 분석하고 대안을 실행하며 성과를 창출한 경험은 PRESS 분야에서도 제 역량을 발휘할 수 있는 기반이 될 것입니다. 다양한 부품 양산 경험과 품질 관리, 생산 관리 노하우를 바탕으로 LS오토모티브의 부품생산팀에 기여하며, 자동차 인터페이스 분야의 발전에 함께하고자 합니다.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우진산전 생산관리부에서 근무하며 다양한 팀과의 협업을 통해 생산 효율성을 높이고 품질 개선을 이룬 경험은 저의 가장 큰 자산입니다. 생산 일정 조율과 자원 배분을 담당하며 각 부서 간의 긴밀한 소통이 생산성 향상에 핵심임을 깨달았고, 문제 발생 시 신속한 원인 분석과 대안 마련으로 팀원들의 신뢰를 얻었습니다. 대덕전자 품질관리팀에서도 제품 품질 향상을 위해 타 부서와 협력하며 데이터를 기반으로 한 설득력 있는 제안을 통해 품질 목표를 달성한 경험이 있습니다. </w:t>
              <w:br/>
              <w:br/>
              <w:t>특히, 프로젝트 리더로서 팀 내 의견을 조율하고 목표를 공유하며 책임감을 갖고 결과를 도출한 경험은 LS오토모티브의 부품생산팀에서 높은 수준의 협업과 리더십을 발휘할 준비가 되어 있음을 증명합니다. PRESS 분야의 특성을 이해하고, 정밀성과 품질을 중시하는 업무 수행을 통해 LS오토모티브의 성장에 기여하겠습니다.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자동차 부품 제조와 품질 관리에서 쌓아온 경험과 역량을 바탕으로 LS오토모티브의 발전에 기여하고자 합니다. 대덕전자 품질관리팀에서 근무하며 전자부품의 품질검사 및 공정 개선 업무를 수행했고, 이후 우진산전 생산관리부에서는 생산 공정 전반을 관리하며 생산성 향상과 효율적인 자원 배분에 집중해왔습니다. 특히, 생산 현장에서 발생할 수 있는 문제를 예측하고 신속히 대응하는 능력을 키웠으며, 지속적인 품질 개선 활동을 통해 고객 신뢰도 향상에 기여했습니다.</w:t>
              <w:br/>
              <w:br/>
              <w:t>프레스 설비 및 금형 관련 업무는 품질과 정밀성이 핵심입니다. 이전 경력을 통해 공정 내 세부 요소를 분석하고 최적화하는 역량을 갖췄으며, 다양한 부품 생산 및 품질 관리 경험은 LS오토모티브의 PRESS 분야에서도 충분히 발휘될 것입니다. 업무의 작은 디테일도 놓치지 않는 책임감과 끊임없이 배우고자 하는 자세로 LS오토모티브와 함께 성장하겠습니다.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2019.01</w:t>
            </w:r>
          </w:p>
        </w:tc>
        <w:tc>
          <w:tcPr>
            <w:tcW w:w="1276" w:type="dxa"/>
            <w:shd w:val="clear" w:color="auto" w:fill="auto"/>
            <w:vAlign w:val="center"/>
          </w:tcPr>
          <w:p>
            <w:r>
              <w:t>재직중</w:t>
            </w:r>
          </w:p>
        </w:tc>
        <w:tc>
          <w:tcPr>
            <w:tcW w:w="2051" w:type="dxa"/>
            <w:shd w:val="clear" w:color="auto" w:fill="auto"/>
            <w:vAlign w:val="center"/>
          </w:tcPr>
          <w:p>
            <w:r>
              <w:t>우진산전</w:t>
            </w:r>
          </w:p>
        </w:tc>
        <w:tc>
          <w:tcPr>
            <w:tcW w:w="1523" w:type="dxa"/>
            <w:shd w:val="clear" w:color="auto" w:fill="auto"/>
            <w:vAlign w:val="center"/>
          </w:tcPr>
          <w:p>
            <w:r>
              <w:t>생산관리부</w:t>
            </w:r>
          </w:p>
        </w:tc>
        <w:tc>
          <w:tcPr>
            <w:tcW w:w="1104" w:type="dxa"/>
            <w:shd w:val="clear" w:color="auto" w:fill="auto"/>
            <w:vAlign w:val="center"/>
          </w:tcPr>
          <w:p>
            <w:r>
              <w:t>대리</w:t>
            </w:r>
          </w:p>
        </w:tc>
        <w:tc>
          <w:tcPr>
            <w:tcW w:w="1417" w:type="dxa"/>
            <w:shd w:val="clear" w:color="auto" w:fill="auto"/>
            <w:vAlign w:val="center"/>
          </w:tcPr>
          <w:p>
            <w:r>
              <w:t>3800만원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생산관리부에서 대리로 근무하며 생산 계획 수립 및 관리, 자재 조달, 생산 일정 조율 등 생산 프로세스의 전반적인 운영을 담당하였습니다. 주요 업무로는 생산 목표 달성을 위한 월간 및 주간 생산계획 수립, 자재 소요량 분석 및 발주 관리, 작업 공정 모니터링과 문제 발생 시 신속한 대응을 통한 생산 효율 극대화가 포함되었습니다. </w:t>
              <w:br/>
              <w:br/>
              <w:t>특히, 생산 공정 최적화 프로젝트를 주도하여 기존 대비 생산 리드타임을 약 15% 단축하는 성과를 달성하였으며, MES(Manufacturing Execution System) 도입 및 운영을 통해 실시간 데이터 기반의 생산 관리 체계를 구축하였습니다. 이를 통해 생산 공정의 투명성과 정확성을 향상시켰습니다.</w:t>
              <w:br/>
              <w:br/>
              <w:t>업무를 통해 생산 공정 분석 및 개선 역량, 자재 관리 전문성, 데이터 분석 및 활용 능력을 체계적으로 습득하였으며, 협업 및 문제 해결 능력을 강화하였습니다. 예를 들어, 특정 제품의 납기 지연 문제 발생 시, 원인 분석 및 관련 부서와의 긴밀한 협의를 통해 자재 부족 문제를 조기에 해결하고 납기 준수를 이끌어낸 사례가 있습니다. 이러한 경험을 바탕으로 생산 관리의 전문성과 효율성을 지속적으로 높여왔습니다.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2015.03</w:t>
            </w:r>
          </w:p>
        </w:tc>
        <w:tc>
          <w:tcPr>
            <w:tcW w:w="1276" w:type="dxa"/>
            <w:shd w:val="clear" w:color="auto" w:fill="auto"/>
            <w:vAlign w:val="center"/>
          </w:tcPr>
          <w:p>
            <w:r>
              <w:t>2018.12</w:t>
            </w:r>
          </w:p>
        </w:tc>
        <w:tc>
          <w:tcPr>
            <w:tcW w:w="2051" w:type="dxa"/>
            <w:shd w:val="clear" w:color="auto" w:fill="auto"/>
            <w:vAlign w:val="center"/>
          </w:tcPr>
          <w:p>
            <w:r>
              <w:t>대덕전자</w:t>
            </w:r>
          </w:p>
        </w:tc>
        <w:tc>
          <w:tcPr>
            <w:tcW w:w="1523" w:type="dxa"/>
            <w:shd w:val="clear" w:color="auto" w:fill="auto"/>
            <w:vAlign w:val="center"/>
          </w:tcPr>
          <w:p>
            <w:r>
              <w:t>품질관리팀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품질관리팀에서 근무하며 전자제품 제조 공정의 품질 보증 및 관리 업무를 수행하였습니다. 생산 공정 중 발생할 수 있는 불량 원인을 분석하고, 이를 예방하기 위한 프로세스를 설계 및 개선하였습니다. 주요 업무로는 제품 품질 검사, 공정 개선 방안 제안, 고객 클레임 분석 및 대응, 내부 품질 감사 진행 등이 포함되었습니다. </w:t>
              <w:br/>
              <w:br/>
              <w:t>특히, 제조 공정에서 발생한 반복적인 불량 문제를 해결하기 위해 FMEA(Failure Mode and Effects Analysis)를 활용한 분석 프로세스를 도입하였으며, 이를 통해 불량률을 15% 이상 감소시키는 성과를 달성하였습니다. 또한, 품질 관리 기준에 따른 내부 프로세스를 정립하고, ISO 9001 인증 준비를 지원하여 회사의 품질 관리 체계를 강화하는 데 기여했습니다.</w:t>
              <w:br/>
              <w:br/>
              <w:t>이 과정에서 데이터 분석 도구 및 품질 관리 시스템(QMS)을 효과적으로 활용하는 역량을 습득하였으며, 문제 해결 능력과 협업 능력을 강화하였습니다. 고객사와의 품질 관련 협의 및 커뮤니케이션을 통해 신뢰 관계를 구축하고, 지속적인 품질 개선을 이끌어낸 경험이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