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eastAsia="仿宋_GB2312" w:cs="宋体" w:asciiTheme="minorHAnsi" w:hAnsiTheme="minorHAnsi"/>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抵 押 合 同</w:t>
      </w: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p>
    <w:p>
      <w:pPr>
        <w:pStyle w:val="2"/>
        <w:spacing w:line="530" w:lineRule="exact"/>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530" w:lineRule="exact"/>
        <w:rPr>
          <w:rFonts w:ascii="仿宋_GB2312" w:hAnsi="宋体" w:eastAsia="仿宋_GB2312" w:cs="宋体"/>
          <w:sz w:val="24"/>
          <w:szCs w:val="24"/>
        </w:rPr>
      </w:pPr>
    </w:p>
    <w:p>
      <w:pPr>
        <w:pStyle w:val="2"/>
        <w:spacing w:line="435" w:lineRule="exact"/>
        <w:ind w:firstLine="480" w:firstLineChars="200"/>
        <w:rPr>
          <w:rFonts w:ascii="仿宋_GB2312" w:hAnsi="宋体" w:eastAsia="仿宋_GB2312" w:cs="宋体"/>
          <w:sz w:val="24"/>
          <w:szCs w:val="24"/>
        </w:rPr>
      </w:pPr>
    </w:p>
    <w:p>
      <w:pPr>
        <w:pStyle w:val="2"/>
        <w:spacing w:line="43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抵 押 合 同</w:t>
      </w:r>
    </w:p>
    <w:p>
      <w:pPr>
        <w:pStyle w:val="2"/>
        <w:spacing w:line="435" w:lineRule="exact"/>
        <w:jc w:val="center"/>
        <w:rPr>
          <w:rFonts w:ascii="仿宋_GB2312" w:hAnsi="Times New Roman" w:eastAsia="仿宋_GB2312" w:cs="宋体"/>
          <w:sz w:val="44"/>
          <w:szCs w:val="44"/>
        </w:rPr>
      </w:pPr>
    </w:p>
    <w:p>
      <w:pPr>
        <w:pStyle w:val="2"/>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抵押人（以下简称甲方）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抵押权人（以下简称乙方）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ind w:left="420" w:leftChars="200"/>
        <w:rPr>
          <w:rFonts w:ascii="仿宋_GB2312" w:hAnsi="Times New Roman" w:eastAsia="仿宋_GB2312" w:cs="宋体"/>
          <w:sz w:val="24"/>
          <w:szCs w:val="24"/>
        </w:rPr>
      </w:pPr>
    </w:p>
    <w:p>
      <w:pPr>
        <w:spacing w:line="435" w:lineRule="exact"/>
        <w:ind w:firstLine="480" w:firstLineChars="200"/>
        <w:rPr>
          <w:rFonts w:ascii="仿宋_GB2312" w:eastAsia="仿宋_GB2312" w:cs="宋体"/>
          <w:color w:val="FF0000"/>
          <w:sz w:val="24"/>
          <w:szCs w:val="24"/>
          <w:u w:val="single"/>
        </w:rPr>
      </w:pPr>
      <w:r>
        <w:rPr>
          <w:rFonts w:hint="eastAsia" w:ascii="仿宋_GB2312" w:eastAsia="仿宋_GB2312" w:cs="宋体"/>
          <w:sz w:val="24"/>
          <w:szCs w:val="24"/>
        </w:rPr>
        <w:t>为保障</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eastAsia="仿宋_GB2312" w:cs="宋体"/>
          <w:sz w:val="24"/>
          <w:szCs w:val="24"/>
        </w:rPr>
        <w:t>(以下简称债务人)与乙方签订的编号为</w:t>
      </w:r>
      <w:r>
        <w:rPr>
          <w:rFonts w:ascii="仿宋_GB2312" w:eastAsia="仿宋_GB2312" w:cs="宋体"/>
          <w:sz w:val="24"/>
          <w:szCs w:val="24"/>
          <w:u w:val="single"/>
        </w:rPr>
        <w:t>${con.CONTRACT_NUM}</w:t>
      </w:r>
      <w:r>
        <w:rPr>
          <w:rFonts w:hint="eastAsia" w:ascii="仿宋_GB2312" w:eastAsia="仿宋_GB2312" w:cs="宋体"/>
          <w:sz w:val="24"/>
          <w:szCs w:val="24"/>
        </w:rPr>
        <w:t>的《</w:t>
      </w:r>
      <w:r>
        <w:rPr>
          <w:rFonts w:hint="eastAsia" w:ascii="仿宋_GB2312" w:eastAsia="仿宋_GB2312" w:cs="宋体"/>
          <w:sz w:val="24"/>
          <w:szCs w:val="24"/>
          <w:u w:val="single"/>
        </w:rPr>
        <w:t>${con.</w:t>
      </w:r>
      <w:r>
        <w:rPr>
          <w:rFonts w:ascii="仿宋_GB2312" w:eastAsia="仿宋_GB2312" w:cs="宋体"/>
          <w:sz w:val="24"/>
          <w:szCs w:val="24"/>
          <w:u w:val="single"/>
        </w:rPr>
        <w:t>CON_REPORT_NAME</w:t>
      </w:r>
      <w:r>
        <w:rPr>
          <w:rFonts w:hint="eastAsia" w:ascii="仿宋_GB2312" w:eastAsia="仿宋_GB2312" w:cs="宋体"/>
          <w:sz w:val="24"/>
          <w:szCs w:val="24"/>
          <w:u w:val="single"/>
        </w:rPr>
        <w:t>}</w:t>
      </w:r>
      <w:r>
        <w:rPr>
          <w:rFonts w:hint="eastAsia" w:ascii="仿宋_GB2312" w:eastAsia="仿宋_GB2312" w:cs="宋体"/>
          <w:sz w:val="24"/>
          <w:szCs w:val="24"/>
        </w:rPr>
        <w:t>》(以下简称主合同)的履行，担保乙方债权的实现，甲方愿意为债务人在主合同项下的债务提供抵押担保。经甲乙双方协商一致，订立本合同，以资共同遵守。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b/>
          <w:bCs/>
          <w:sz w:val="24"/>
          <w:szCs w:val="24"/>
        </w:rPr>
        <w:t>第一条　</w:t>
      </w:r>
      <w:r>
        <w:rPr>
          <w:rFonts w:hint="eastAsia" w:ascii="仿宋_GB2312" w:hAnsi="Times New Roman" w:eastAsia="仿宋_GB2312" w:cs="宋体"/>
          <w:b/>
          <w:sz w:val="24"/>
          <w:szCs w:val="24"/>
        </w:rPr>
        <w:t>被担保主合同的本金金额、业务种类、期限</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甲方所担保的主合同本金金额为</w:t>
      </w:r>
      <w:r>
        <w:rPr>
          <w:rFonts w:ascii="仿宋_GB2312" w:hAnsi="Times New Roman" w:eastAsia="仿宋_GB2312" w:cs="宋体"/>
          <w:sz w:val="24"/>
          <w:szCs w:val="24"/>
          <w:u w:val="single"/>
        </w:rPr>
        <w:t>${con.CURRENCY_CD}</w:t>
      </w:r>
      <w:r>
        <w:rPr>
          <w:rFonts w:hint="eastAsia" w:ascii="仿宋_GB2312" w:hAnsi="Times New Roman" w:eastAsia="仿宋_GB2312" w:cs="宋体"/>
          <w:sz w:val="24"/>
          <w:szCs w:val="24"/>
          <w:u w:val="single"/>
        </w:rPr>
        <w:t xml:space="preserve"> </w:t>
      </w:r>
      <w:r>
        <w:rPr>
          <w:rFonts w:ascii="仿宋_GB2312" w:hAnsi="仿宋" w:eastAsia="仿宋_GB2312"/>
          <w:snapToGrid w:val="0"/>
          <w:spacing w:val="6"/>
          <w:kern w:val="0"/>
          <w:sz w:val="24"/>
          <w:u w:val="single"/>
        </w:rPr>
        <w:t>${con.CONTRACT_AMT_CN}</w:t>
      </w:r>
      <w:r>
        <w:rPr>
          <w:rFonts w:hint="eastAsia" w:ascii="仿宋_GB2312" w:hAnsi="Times New Roman" w:eastAsia="仿宋_GB2312" w:cs="宋体"/>
          <w:sz w:val="24"/>
          <w:szCs w:val="24"/>
        </w:rPr>
        <w:t>，业务种类为：</w:t>
      </w:r>
      <w:r>
        <w:rPr>
          <w:rFonts w:ascii="仿宋_GB2312" w:hAnsi="Times New Roman" w:eastAsia="仿宋_GB2312" w:cs="宋体"/>
          <w:sz w:val="24"/>
          <w:szCs w:val="24"/>
          <w:u w:val="single"/>
        </w:rPr>
        <w:t>${con.PRODUCT_TYPE</w:t>
      </w:r>
      <w:r>
        <w:rPr>
          <w:rFonts w:hint="eastAsia" w:ascii="仿宋_GB2312" w:hAnsi="Times New Roman" w:eastAsia="仿宋_GB2312" w:cs="宋体"/>
          <w:sz w:val="24"/>
          <w:szCs w:val="24"/>
          <w:u w:val="single"/>
        </w:rPr>
        <w:t>_CN</w:t>
      </w:r>
      <w:r>
        <w:rPr>
          <w:rFonts w:ascii="仿宋_GB2312" w:hAnsi="Times New Roman" w:eastAsia="仿宋_GB2312" w:cs="宋体"/>
          <w:sz w:val="24"/>
          <w:szCs w:val="24"/>
          <w:u w:val="single"/>
        </w:rPr>
        <w:t>}</w:t>
      </w:r>
      <w:r>
        <w:rPr>
          <w:rFonts w:hint="eastAsia" w:ascii="仿宋_GB2312" w:hAnsi="仿宋" w:eastAsia="仿宋_GB2312"/>
          <w:snapToGrid w:val="0"/>
          <w:spacing w:val="6"/>
          <w:kern w:val="0"/>
          <w:sz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主债务的实际履行期限与主合同的约定不一致的，以借款凭证等债权凭证所记载的期限为准。</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第二条　抵押担保范围</w:t>
      </w:r>
    </w:p>
    <w:p>
      <w:pPr>
        <w:pStyle w:val="2"/>
        <w:spacing w:line="435" w:lineRule="exact"/>
        <w:ind w:firstLine="480" w:firstLineChars="200"/>
        <w:rPr>
          <w:rFonts w:ascii="仿宋_GB2312" w:hAnsi="Times New Roman" w:eastAsia="仿宋_GB2312" w:cs="宋体"/>
          <w:bCs/>
          <w:sz w:val="24"/>
          <w:szCs w:val="24"/>
        </w:rPr>
      </w:pPr>
      <w:r>
        <w:rPr>
          <w:rFonts w:hint="eastAsia" w:ascii="仿宋_GB2312" w:hAnsi="Times New Roman" w:eastAsia="仿宋_GB2312" w:cs="宋体"/>
          <w:bCs/>
          <w:sz w:val="24"/>
          <w:szCs w:val="24"/>
        </w:rPr>
        <w:t>本合同的抵押担保范围为以下第</w:t>
      </w:r>
      <w:r>
        <w:rPr>
          <w:rFonts w:hint="eastAsia" w:ascii="仿宋_GB2312" w:hAnsi="Times New Roman" w:eastAsia="仿宋_GB2312" w:cs="宋体"/>
          <w:bCs/>
          <w:sz w:val="24"/>
          <w:szCs w:val="24"/>
          <w:u w:val="single"/>
        </w:rPr>
        <w:t>${con.</w:t>
      </w:r>
      <w:r>
        <w:rPr>
          <w:rFonts w:ascii="仿宋_GB2312" w:hAnsi="Times New Roman" w:eastAsia="仿宋_GB2312" w:cs="宋体"/>
          <w:bCs/>
          <w:sz w:val="24"/>
          <w:szCs w:val="24"/>
          <w:u w:val="single"/>
        </w:rPr>
        <w:t>SUB_SCOPE</w:t>
      </w:r>
      <w:r>
        <w:rPr>
          <w:rFonts w:hint="eastAsia" w:ascii="仿宋_GB2312" w:hAnsi="Times New Roman" w:eastAsia="仿宋_GB2312" w:cs="宋体"/>
          <w:bCs/>
          <w:sz w:val="24"/>
          <w:szCs w:val="24"/>
          <w:u w:val="single"/>
        </w:rPr>
        <w:t>}</w:t>
      </w:r>
      <w:r>
        <w:rPr>
          <w:rFonts w:hint="eastAsia" w:ascii="仿宋_GB2312" w:hAnsi="Times New Roman" w:eastAsia="仿宋_GB2312" w:cs="宋体"/>
          <w:bCs/>
          <w:sz w:val="24"/>
          <w:szCs w:val="24"/>
        </w:rPr>
        <w:t>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主合同项下的全部主债权本金、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二、主合同项下的主债权本金</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BZ_CN</w:t>
      </w:r>
      <w:r>
        <w:rPr>
          <w:rFonts w:hint="eastAsia" w:ascii="仿宋_GB2312" w:hAnsi="Times New Roman" w:eastAsia="仿宋_GB2312" w:cs="宋体"/>
          <w:sz w:val="24"/>
          <w:szCs w:val="24"/>
          <w:u w:val="single"/>
        </w:rPr>
        <w:t>} ${con.</w:t>
      </w:r>
      <w:r>
        <w:rPr>
          <w:rFonts w:ascii="仿宋_GB2312" w:hAnsi="Times New Roman" w:eastAsia="仿宋_GB2312" w:cs="宋体"/>
          <w:sz w:val="24"/>
          <w:szCs w:val="24"/>
          <w:u w:val="single"/>
        </w:rPr>
        <w:t>SUB_AMT_CN</w:t>
      </w:r>
      <w:r>
        <w:rPr>
          <w:rFonts w:hint="eastAsia" w:ascii="仿宋_GB2312" w:hAnsi="Times New Roman" w:eastAsia="仿宋_GB2312" w:cs="宋体"/>
          <w:sz w:val="24"/>
          <w:szCs w:val="24"/>
          <w:u w:val="single"/>
        </w:rPr>
        <w:t>}</w:t>
      </w:r>
      <w:r>
        <w:rPr>
          <w:rFonts w:hint="eastAsia" w:ascii="仿宋_GB2312" w:hAnsi="Times New Roman" w:eastAsia="仿宋_GB2312" w:cs="宋体"/>
          <w:sz w:val="24"/>
          <w:szCs w:val="24"/>
        </w:rPr>
        <w:t>及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第三条　抵押物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 (抵押物名称)设定抵押，抵押物的名称、数量、规格、价值等状况详见附件：《抵押物清单》。抵押权的效力及于抵押物的从物、从权利、代位权、附和物、混合物、加工物和孳息。</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对于抵押物权利证书,若登记机关换发新的权利证书、凭证，导致本合同《抵押物清单》或者乙方收执的权利证书、凭证与新的权利证书、凭证或登记机关登记簿上记载不一致的，不影响甲方担保责任的承担，甲方不得以此为由拒绝承担担保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第四条　抵押财产的占管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一、本合同项下的抵押财产由甲方占管，甲方同意随时接受乙方对抵押财产的检查。</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二、甲方应妥善保管、保养和维护好抵押财产，采取有效措施保障抵押财产的安全、完整，如抵押财产需要维修，甲方应及时进行，并承担相应费用。</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三、抵押期间，未经乙方书面同意，甲方不得以出售、出租、转让、承包、赠予、再抵押、托管、以实物形式联营、入股或以其他任何方式处置抵押物。</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第五条　抵押物的保险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一、甲方应按乙方要求为抵押物办理保险。甲方如对抵押物已办理保险的，乙方有权要求甲方在本合同生效之日起五日内办理以乙方为第一受益人的保险权益转让手续；</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　抵押登记</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一、在本合同签订后的三个工作日内，甲方应当按照相关法律法规的规定，会同乙方到抵押登记机关办理抵押登记手续。</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二、抵押登记手续办妥后，相关抵押登记证书由乙方持有。</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第七条　抵押权的实现</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其他约定；或者发生本合同约定的实现抵押权的情形，乙方有权以折价、拍卖、变卖等方式处分抵押物并以所得价款优先受偿。</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若除本合同约定的担保方式外，主合同项下还存在其他担保（不论该担保是保证还是抵押、质押，也不论该担保是债务人自己提供的还是第三人提供的），乙方有权选择直接行使本合同项下权利，要求甲方承担抵押担保责任，甲方对乙方承担的抵押担保责任不受任何其他担保的影响，其抵押担保责任的承担也不以乙方向其他任何担保人提出权利主张或进行诉讼/仲裁/强制执行为前提。若乙方因任何原因放弃、变更主合同债务人或第三人向其提供的物的担保、变更担保顺位、减少担保金额，造成其在上述物的担保项下的优先受偿权益丧失或减少，甲方同意其在本合同项下的抵押担保责任并不因之而免除或减少。</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三、若抵押物为两个及以上的，不论这些抵押物是债务人自身提供的还是第三人提供的，所有抵押物均共同的、连带的、不分份额的担保全部主债权的履行；乙方行使抵押权时有选择权，可以选择同时处置所有抵押物，也可以选择处置任何一个或几个抵押物。甲方不得以自身并非债务人为由进行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如主债权为外币，处分抵押财产后，按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取得处分抵押财产的款项之日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本合同《抵押物清单》记载的抵押物评估价值或双方认定的抵押物价值，无论是否记载于登记机关的登记簿，均不构成对乙方处分抵押物的任何限制，也不作为将来乙方处分抵押物或协议以资抵债的价值依据。</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七、乙方处分抵押物后所得价款，在清偿完毕全部主债权后若有剩余退还甲方，不足部份由债务人继续清偿。</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八、如抵押物出现毁损、灭失、被征用等情形，抵押物的保险金、赔偿金、补偿金等应用于优先偿还或提前偿还主债务。</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第八条甲方的责任与义务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2"/>
        <w:spacing w:line="435" w:lineRule="exact"/>
        <w:ind w:firstLine="482" w:firstLineChars="200"/>
        <w:rPr>
          <w:rFonts w:ascii="仿宋_GB2312" w:hAnsi="Times New Roman" w:eastAsia="仿宋_GB2312" w:cs="宋体"/>
          <w:b/>
          <w:sz w:val="24"/>
          <w:szCs w:val="24"/>
        </w:rPr>
      </w:pPr>
      <w:r>
        <w:rPr>
          <w:rFonts w:hint="eastAsia" w:ascii="黑体" w:hAnsi="黑体" w:eastAsia="黑体" w:cs="黑体"/>
          <w:b/>
          <w:bCs/>
          <w:sz w:val="24"/>
          <w:szCs w:val="24"/>
        </w:rPr>
        <w:t>二、如果乙方与债务人协议变更除主债权金额以外的主合同条款(包括但不限于变更债务履行期限、偿还币种、还款方式、贷款账号、还款账号、提款计划、还款计划、起息日、结息日等)，甲方同意对变更后的主合同项下债务继续承担担保责任。如果乙方与债务人协议变更增加主债权本金金额的，甲方仅依据本合同的约定对原主债务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三、如果乙方根据主合同的约定或者国家的利率政策变化而调整利率水平、计息或结息方式，导致债务人应偿还的利息、罚息、复利增加的，对增加部分，甲方也应一并承担担保责任。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四、甲方以抵押物履行了担保责任后，有权向债务人追偿。但如果债务人同时面临甲方的追偿和乙方在主合同项下的任何权利要求，甲方同意债务人优先偿付其对乙方的债务。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五、甲方应当配合乙方对其进行贷后管理、相关检查工作，并按乙方要求如实提供有关的报表、凭证、权证、资料等。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六、甲方应当在发生下列重大事项时的三日内及时书面通知乙方：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（一）甲方的名称、住所、经营范围、法定代表人、联系方式等重大事项发生变更；（二）</w:t>
      </w:r>
      <w:r>
        <w:rPr>
          <w:rFonts w:hint="eastAsia" w:ascii="仿宋_GB2312" w:hAnsi="宋体" w:eastAsia="仿宋_GB2312" w:cs="宋体"/>
          <w:sz w:val="24"/>
          <w:szCs w:val="24"/>
        </w:rPr>
        <w:t>甲方停止经营、歇业、被宣告破产、解散、被吊销营业执照、被撤销或涉及重大经济纠纷；</w:t>
      </w:r>
      <w:r>
        <w:rPr>
          <w:rFonts w:hint="eastAsia" w:ascii="仿宋_GB2312" w:hAnsi="Times New Roman" w:eastAsia="仿宋_GB2312" w:cs="宋体"/>
          <w:sz w:val="24"/>
          <w:szCs w:val="24"/>
        </w:rPr>
        <w:t>（三）涉及到的诉讼、仲裁事件；（四）抵押物被有关机关查封、扣押、冻结；（五）抵押物发生权属争议或受到来自第三方及自然灾害的侵害。（六）其他影响甲方担保责任承担的重大不利事项。</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第九条甲方的承诺和保证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一、甲方是依法成立的法人或非法人机构，持有有效的营业执照或其它合法证照，担保主体资格合法有效；</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三、甲方保证按乙方的要求及时提供乙方所需资料，并保证所提供的资料均真实、准确、完整、有效，所提交的复印件均与原件相符；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四、甲方签署本合同或履行其在本合同项下的义务并不违反任何法律法规及其订立的任何其他合同协议或其公司章程，也不会与其订立的其他合同协议或其公司章程存在任何法律上和商业利益上的冲突；</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五、甲方知悉并认可主合同约定的全部内容；对债务人的情况以及本次担保的风险均有充分的认识，并在此基础之上自愿提供担保。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六、甲方对抵押物享有合法、完整、不可争议的所有权或使用权（土地），有权进行法律上的抵押。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七、如抵押物为共有财产的，甲方保证本合同项下的抵押已得到全体共有人的书面同意。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除了本合同设立的抵押或乙方事先书面同意的其他抵押外，在抵押物上不存在任何的抵押、质押、留置和其他债务负担。在本抵押权设立之后，未经乙方书面同意，不得在抵押物之上设立后顺位（第二顺位、第三顺位等）抵押。</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九、抵押物不存在任何未书面告知乙方的瑕疵或负担，包括但不限于抵押物为限制流通物、被查封、被扣押、被监管、被出租、被留置、抵押财产存在拖欠购置价款、维修费用、建设工程价款、国家税款、土地使用权出让金、损害赔偿金等情形。</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十、甲方保证配合乙方对其作全面的尽职调查，同意乙方进入其企业端“企业防伪税控系统”查询相关信息；</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十一、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十二、甲方如为集团客户，应向乙方及时报告甲方净资产10％以上关联交易的情况，包括： （一）交易各方的关联关系；（二）交易项目和交易性质；（三）交易的金额或相应的比例；（四）定价政策(包括没有金额或只有象征性金额的交易)。</w:t>
      </w:r>
    </w:p>
    <w:p>
      <w:pPr>
        <w:pStyle w:val="2"/>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十三、</w:t>
      </w:r>
      <w:r>
        <w:rPr>
          <w:rFonts w:hint="eastAsia" w:ascii="仿宋_GB2312" w:eastAsia="仿宋_GB2312" w:cs="宋体"/>
          <w:sz w:val="24"/>
          <w:szCs w:val="24"/>
        </w:rPr>
        <w:t>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十四、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pPr>
        <w:pStyle w:val="2"/>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第十条  乙方权利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一、乙方有权按照法律规定和本合同约定行使抵押权，要求甲方承担担保责任。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二、若甲方与债务人为同一人的，乙方有权对抵押物之外的甲方的其它财产申请强制执行，且不以放弃抵押权或必须先处分抵押物为前提条件。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三、乙方有权要求甲方提供反映其经营情况、信用情况以及与抵押物相关的权证、资料和单据。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七、乙方全部或部份转让主债权的，担保权利一并转让，而无需取得甲方同意。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违约责任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（二）甲方不及时按照约定会同、配合乙方办理抵押登记手续；</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（三）抵押物被有关机关查封、冻结、扣押；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（四）因甲方的行为使抵押物的价值减少或使抵押物受到侵害；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（五）抵押物的权属发生争议，被第三人出现权利声索或主张；</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（六）因甲方保管、使用不善，导致抵押物出现全部或部份毁损、灭失；</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（七）抵押物受到来自第三方或大自然的侵害，甲方没有及时、妥善的采取相关防护、保卫措施；</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（八）甲方不按乙方要求办理抵押物保险或者因不交保险费而导致保险中断，致使抵押物发生保险事故后得不到赔偿。</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（九）甲方未经乙方书面同意，擅自处分、转让抵押物或在抵押物上设置其它权利负担。</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（二）宣布主债务提前到期，要求甲方承担抵押担保责任；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（四）要求甲方赔偿乙方所受到的全部损失。</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第十二条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本合同所设立的担保具有独立性，无论何种情况，本合同不因主合同的无效而无效。如主合同被确认无效、被撤销，则甲方对主债务人因返还财产或赔偿损失而形成的债务也承担抵押担保责任。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（一）甲方</w:t>
      </w:r>
      <w:r>
        <w:rPr>
          <w:rFonts w:ascii="仿宋_GB2312" w:eastAsia="仿宋_GB2312" w:cs="宋体"/>
          <w:sz w:val="24"/>
          <w:szCs w:val="24"/>
        </w:rPr>
        <w:t>确认其有效的</w:t>
      </w:r>
      <w:r>
        <w:rPr>
          <w:rFonts w:hint="eastAsia" w:ascii="仿宋_GB2312" w:eastAsia="仿宋_GB2312" w:cs="宋体"/>
          <w:sz w:val="24"/>
          <w:szCs w:val="24"/>
        </w:rPr>
        <w:t>送达地址和联系方式为：</w:t>
      </w:r>
    </w:p>
    <w:p>
      <w:pPr>
        <w:pStyle w:val="2"/>
        <w:spacing w:line="435" w:lineRule="exact"/>
        <w:rPr>
          <w:rFonts w:ascii="仿宋_GB2312" w:eastAsia="仿宋_GB2312" w:cs="宋体"/>
          <w:sz w:val="24"/>
          <w:szCs w:val="24"/>
        </w:rPr>
      </w:pPr>
      <w:r>
        <w:rPr>
          <w:rFonts w:hint="eastAsia" w:ascii="仿宋_GB2312" w:eastAsia="仿宋_GB2312" w:cs="宋体"/>
          <w:sz w:val="24"/>
          <w:szCs w:val="24"/>
        </w:rPr>
        <w:t>送达地址：</w:t>
      </w:r>
      <w:r>
        <w:rPr>
          <w:rFonts w:ascii="仿宋_GB2312" w:eastAsia="仿宋_GB2312" w:cs="宋体"/>
          <w:sz w:val="24"/>
          <w:szCs w:val="24"/>
          <w:u w:val="single"/>
        </w:rPr>
        <w:t>${add.A_SEND_ADDR}</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邮编：</w:t>
      </w:r>
      <w:r>
        <w:rPr>
          <w:rFonts w:ascii="仿宋_GB2312" w:eastAsia="仿宋_GB2312" w:cs="宋体"/>
          <w:sz w:val="24"/>
          <w:szCs w:val="24"/>
          <w:u w:val="single"/>
        </w:rPr>
        <w:t>${add.A_POSTCODE}</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收件人：</w:t>
      </w:r>
      <w:r>
        <w:rPr>
          <w:rFonts w:ascii="仿宋_GB2312" w:eastAsia="仿宋_GB2312" w:cs="宋体"/>
          <w:sz w:val="24"/>
          <w:szCs w:val="24"/>
          <w:u w:val="single"/>
        </w:rPr>
        <w:t>${add.A_RECEIVER}</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电话：</w:t>
      </w:r>
      <w:r>
        <w:rPr>
          <w:rFonts w:ascii="仿宋_GB2312" w:eastAsia="仿宋_GB2312" w:cs="宋体"/>
          <w:sz w:val="24"/>
          <w:szCs w:val="24"/>
          <w:u w:val="single"/>
        </w:rPr>
        <w:t>${add.A_PHONE}</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电子邮箱：</w:t>
      </w:r>
      <w:r>
        <w:rPr>
          <w:rFonts w:ascii="仿宋_GB2312" w:eastAsia="仿宋_GB2312" w:cs="宋体"/>
          <w:sz w:val="24"/>
          <w:szCs w:val="24"/>
          <w:u w:val="single"/>
        </w:rPr>
        <w:t>${add.A_EMAIL}</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（二）乙方</w:t>
      </w:r>
      <w:r>
        <w:rPr>
          <w:rFonts w:ascii="仿宋_GB2312" w:eastAsia="仿宋_GB2312" w:cs="宋体"/>
          <w:sz w:val="24"/>
          <w:szCs w:val="24"/>
        </w:rPr>
        <w:t>确认其有效的</w:t>
      </w:r>
      <w:r>
        <w:rPr>
          <w:rFonts w:hint="eastAsia" w:ascii="仿宋_GB2312" w:eastAsia="仿宋_GB2312" w:cs="宋体"/>
          <w:sz w:val="24"/>
          <w:szCs w:val="24"/>
        </w:rPr>
        <w:t>送达地址和联系方式为：</w:t>
      </w:r>
    </w:p>
    <w:p>
      <w:pPr>
        <w:pStyle w:val="2"/>
        <w:spacing w:line="435" w:lineRule="exact"/>
        <w:rPr>
          <w:rFonts w:ascii="仿宋_GB2312" w:eastAsia="仿宋_GB2312" w:cs="宋体"/>
          <w:sz w:val="24"/>
          <w:szCs w:val="24"/>
        </w:rPr>
      </w:pPr>
      <w:r>
        <w:rPr>
          <w:rFonts w:hint="eastAsia" w:ascii="仿宋_GB2312" w:eastAsia="仿宋_GB2312" w:cs="宋体"/>
          <w:sz w:val="24"/>
          <w:szCs w:val="24"/>
        </w:rPr>
        <w:t>送达地址：</w:t>
      </w:r>
      <w:r>
        <w:rPr>
          <w:rFonts w:ascii="仿宋_GB2312" w:eastAsia="仿宋_GB2312" w:cs="宋体"/>
          <w:sz w:val="24"/>
          <w:szCs w:val="24"/>
          <w:u w:val="single"/>
        </w:rPr>
        <w:t>${add.B_SEND_ADDR}</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邮编：</w:t>
      </w:r>
      <w:r>
        <w:rPr>
          <w:rFonts w:ascii="仿宋_GB2312" w:eastAsia="仿宋_GB2312" w:cs="宋体"/>
          <w:sz w:val="24"/>
          <w:szCs w:val="24"/>
          <w:u w:val="single"/>
        </w:rPr>
        <w:t>${add.B_POSTCODE}</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收件人：</w:t>
      </w:r>
      <w:r>
        <w:rPr>
          <w:rFonts w:ascii="仿宋_GB2312" w:eastAsia="仿宋_GB2312" w:cs="宋体"/>
          <w:sz w:val="24"/>
          <w:szCs w:val="24"/>
          <w:u w:val="single"/>
        </w:rPr>
        <w:t>${add.B_RECEIVER}</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电话：</w:t>
      </w:r>
      <w:r>
        <w:rPr>
          <w:rFonts w:ascii="仿宋_GB2312" w:eastAsia="仿宋_GB2312" w:cs="宋体"/>
          <w:sz w:val="24"/>
          <w:szCs w:val="24"/>
          <w:u w:val="single"/>
        </w:rPr>
        <w:t>${add.B_PHONE}</w:t>
      </w:r>
      <w:r>
        <w:rPr>
          <w:rFonts w:hint="eastAsia" w:ascii="仿宋_GB2312" w:eastAsia="仿宋_GB2312" w:cs="宋体"/>
          <w:sz w:val="24"/>
          <w:szCs w:val="24"/>
        </w:rPr>
        <w:t>；</w:t>
      </w:r>
    </w:p>
    <w:p>
      <w:pPr>
        <w:pStyle w:val="2"/>
        <w:spacing w:line="435" w:lineRule="exact"/>
        <w:rPr>
          <w:rFonts w:ascii="仿宋_GB2312" w:eastAsia="仿宋_GB2312" w:cs="宋体"/>
          <w:sz w:val="24"/>
          <w:szCs w:val="24"/>
        </w:rPr>
      </w:pPr>
      <w:r>
        <w:rPr>
          <w:rFonts w:hint="eastAsia" w:ascii="仿宋_GB2312" w:eastAsia="仿宋_GB2312" w:cs="宋体"/>
          <w:sz w:val="24"/>
          <w:szCs w:val="24"/>
        </w:rPr>
        <w:t>电子邮箱：</w:t>
      </w:r>
      <w:r>
        <w:rPr>
          <w:rFonts w:ascii="仿宋_GB2312" w:eastAsia="仿宋_GB2312" w:cs="宋体"/>
          <w:sz w:val="24"/>
          <w:szCs w:val="24"/>
          <w:u w:val="single"/>
        </w:rPr>
        <w:t>${add.B_EMAIL}</w:t>
      </w:r>
      <w:r>
        <w:rPr>
          <w:rFonts w:hint="eastAsia" w:ascii="仿宋_GB2312"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第十四条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三、本合同的附件《抵押物清单》为本合同不可分割的组成部份。</w:t>
      </w:r>
    </w:p>
    <w:p>
      <w:pPr>
        <w:pStyle w:val="2"/>
        <w:spacing w:before="156"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第十六条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before="156" w:line="435" w:lineRule="exact"/>
        <w:rPr>
          <w:rFonts w:ascii="仿宋_GB2312" w:hAnsi="Times New Roman" w:eastAsia="仿宋_GB2312" w:cs="宋体"/>
          <w:sz w:val="24"/>
          <w:szCs w:val="24"/>
          <w:u w:val="single"/>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widowControl/>
        <w:jc w:val="left"/>
        <w:rPr>
          <w:rFonts w:ascii="仿宋_GB2312" w:eastAsia="仿宋_GB2312" w:cs="宋体"/>
          <w:sz w:val="24"/>
          <w:szCs w:val="24"/>
        </w:rPr>
      </w:pPr>
      <w:r>
        <w:rPr>
          <w:rFonts w:ascii="仿宋_GB2312" w:eastAsia="仿宋_GB2312" w:cs="宋体"/>
          <w:sz w:val="24"/>
          <w:szCs w:val="24"/>
        </w:rPr>
        <w:br w:type="page"/>
      </w:r>
    </w:p>
    <w:p>
      <w:pPr>
        <w:pStyle w:val="2"/>
        <w:spacing w:line="435" w:lineRule="exact"/>
        <w:rPr>
          <w:rFonts w:ascii="仿宋_GB2312" w:hAnsi="宋体" w:eastAsia="仿宋_GB2312" w:cs="宋体"/>
          <w:sz w:val="24"/>
          <w:szCs w:val="24"/>
          <w:highlight w:val="yellow"/>
        </w:rPr>
      </w:pPr>
      <w:r>
        <w:rPr>
          <w:rFonts w:hint="eastAsia" w:ascii="仿宋_GB2312" w:hAnsi="宋体" w:eastAsia="仿宋_GB2312" w:cs="宋体"/>
          <w:sz w:val="24"/>
          <w:szCs w:val="24"/>
        </w:rPr>
        <w:t>附件：</w:t>
      </w:r>
    </w:p>
    <w:p>
      <w:pPr>
        <w:pStyle w:val="2"/>
        <w:spacing w:line="435" w:lineRule="exact"/>
        <w:ind w:firstLine="723" w:firstLineChars="200"/>
        <w:jc w:val="center"/>
        <w:rPr>
          <w:rFonts w:ascii="仿宋_GB2312" w:hAnsi="宋体" w:eastAsia="仿宋_GB2312" w:cs="宋体"/>
          <w:sz w:val="44"/>
          <w:szCs w:val="44"/>
        </w:rPr>
      </w:pPr>
      <w:r>
        <w:rPr>
          <w:rFonts w:hint="eastAsia" w:ascii="黑体" w:hAnsi="Calibri" w:eastAsia="黑体" w:cs="Times New Roman"/>
          <w:b/>
          <w:sz w:val="36"/>
          <w:szCs w:val="36"/>
        </w:rPr>
        <w:t>抵押物清单（不动产）</w:t>
      </w:r>
    </w:p>
    <w:p>
      <w:pPr>
        <w:pStyle w:val="2"/>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本抵押物清单作为编号为：《抵押合同》的附件，为该合同不可分割的组成部分。</w:t>
      </w:r>
    </w:p>
    <w:tbl>
      <w:tblPr>
        <w:tblStyle w:val="9"/>
        <w:tblW w:w="9640" w:type="dxa"/>
        <w:tblInd w:w="-1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0"/>
        <w:gridCol w:w="1417"/>
        <w:gridCol w:w="1276"/>
        <w:gridCol w:w="992"/>
        <w:gridCol w:w="1134"/>
        <w:gridCol w:w="992"/>
        <w:gridCol w:w="877"/>
        <w:gridCol w:w="1250"/>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序号</w:t>
            </w:r>
          </w:p>
        </w:tc>
        <w:tc>
          <w:tcPr>
            <w:tcW w:w="1417"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抵押物名称</w:t>
            </w:r>
          </w:p>
        </w:tc>
        <w:tc>
          <w:tcPr>
            <w:tcW w:w="1276"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地址或处所</w:t>
            </w:r>
          </w:p>
        </w:tc>
        <w:tc>
          <w:tcPr>
            <w:tcW w:w="992"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面积（数量）</w:t>
            </w:r>
          </w:p>
        </w:tc>
        <w:tc>
          <w:tcPr>
            <w:tcW w:w="1134"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性能用途</w:t>
            </w:r>
          </w:p>
        </w:tc>
        <w:tc>
          <w:tcPr>
            <w:tcW w:w="992"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权利证书名称及编号</w:t>
            </w:r>
          </w:p>
        </w:tc>
        <w:tc>
          <w:tcPr>
            <w:tcW w:w="877"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评估价值或双方认定的价值</w:t>
            </w:r>
          </w:p>
        </w:tc>
        <w:tc>
          <w:tcPr>
            <w:tcW w:w="1250"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是否为其他人设定抵押及抵押金额</w:t>
            </w:r>
          </w:p>
        </w:tc>
        <w:tc>
          <w:tcPr>
            <w:tcW w:w="992"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49" w:hRule="atLeast"/>
        </w:trPr>
        <w:tc>
          <w:tcPr>
            <w:tcW w:w="710"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${sub_bdc.ROWNUM}</w:t>
            </w:r>
          </w:p>
        </w:tc>
        <w:tc>
          <w:tcPr>
            <w:tcW w:w="1417"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${sub_bdc.SURETY_NAME}</w:t>
            </w:r>
          </w:p>
        </w:tc>
        <w:tc>
          <w:tcPr>
            <w:tcW w:w="1276"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${sub_bdc.streetAddress}</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${sub_bdc.strctureArea}</w:t>
            </w:r>
          </w:p>
        </w:tc>
        <w:tc>
          <w:tcPr>
            <w:tcW w:w="1134"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${sub_bdc.OWNERSHIP_NUM}</w:t>
            </w:r>
          </w:p>
        </w:tc>
        <w:tc>
          <w:tcPr>
            <w:tcW w:w="877"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${sub_bdc.ASSESS_VALUE}</w:t>
            </w:r>
          </w:p>
        </w:tc>
        <w:tc>
          <w:tcPr>
            <w:tcW w:w="1250"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r>
    </w:tbl>
    <w:p>
      <w:pPr>
        <w:pStyle w:val="2"/>
        <w:spacing w:line="435" w:lineRule="exact"/>
        <w:ind w:firstLine="880" w:firstLineChars="200"/>
        <w:jc w:val="left"/>
        <w:rPr>
          <w:rFonts w:ascii="仿宋_GB2312" w:hAnsi="宋体" w:eastAsia="仿宋_GB2312" w:cs="宋体"/>
          <w:sz w:val="44"/>
          <w:szCs w:val="44"/>
        </w:rPr>
      </w:pPr>
    </w:p>
    <w:p>
      <w:pPr>
        <w:pStyle w:val="2"/>
        <w:spacing w:line="435" w:lineRule="exact"/>
        <w:ind w:firstLine="4560" w:firstLineChars="1900"/>
        <w:rPr>
          <w:rFonts w:ascii="仿宋_GB2312" w:hAnsi="宋体" w:eastAsia="仿宋_GB2312" w:cs="宋体"/>
          <w:sz w:val="24"/>
          <w:szCs w:val="24"/>
        </w:rPr>
      </w:pP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r>
        <w:rPr>
          <w:rFonts w:hint="eastAsia" w:ascii="仿宋_GB2312" w:eastAsia="仿宋_GB2312" w:cs="宋体"/>
          <w:sz w:val="24"/>
          <w:szCs w:val="24"/>
        </w:rPr>
        <w:t xml:space="preserve">    年   月   日                            年   月   日</w:t>
      </w:r>
    </w:p>
    <w:p>
      <w:pPr>
        <w:widowControl/>
        <w:jc w:val="left"/>
        <w:rPr>
          <w:rFonts w:ascii="仿宋_GB2312" w:hAnsi="宋体" w:eastAsia="仿宋_GB2312" w:cs="宋体"/>
          <w:sz w:val="24"/>
          <w:szCs w:val="24"/>
          <w:highlight w:val="yellow"/>
        </w:rPr>
      </w:pPr>
      <w:r>
        <w:rPr>
          <w:rFonts w:ascii="黑体" w:hAnsi="Calibri" w:eastAsia="黑体"/>
          <w:b/>
          <w:sz w:val="36"/>
          <w:szCs w:val="36"/>
        </w:rPr>
        <w:br w:type="page"/>
      </w:r>
      <w:r>
        <w:rPr>
          <w:rFonts w:hint="eastAsia" w:ascii="仿宋_GB2312" w:hAnsi="宋体" w:eastAsia="仿宋_GB2312" w:cs="宋体"/>
          <w:sz w:val="24"/>
          <w:szCs w:val="24"/>
        </w:rPr>
        <w:t>附件：</w:t>
      </w:r>
    </w:p>
    <w:p>
      <w:pPr>
        <w:pStyle w:val="2"/>
        <w:spacing w:line="435" w:lineRule="exact"/>
        <w:ind w:firstLine="723" w:firstLineChars="200"/>
        <w:jc w:val="center"/>
        <w:rPr>
          <w:rFonts w:ascii="仿宋_GB2312" w:hAnsi="宋体" w:eastAsia="仿宋_GB2312" w:cs="宋体"/>
          <w:sz w:val="44"/>
          <w:szCs w:val="44"/>
        </w:rPr>
      </w:pPr>
      <w:r>
        <w:rPr>
          <w:rFonts w:hint="eastAsia" w:ascii="黑体" w:hAnsi="Calibri" w:eastAsia="黑体" w:cs="Times New Roman"/>
          <w:b/>
          <w:sz w:val="36"/>
          <w:szCs w:val="36"/>
        </w:rPr>
        <w:t>抵押物清单（动产）</w:t>
      </w:r>
    </w:p>
    <w:p>
      <w:pPr>
        <w:pStyle w:val="2"/>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本抵押物清单作为编号为：《抵押合同》的附件，为该合同不可分割的组成部分。</w:t>
      </w:r>
    </w:p>
    <w:tbl>
      <w:tblPr>
        <w:tblStyle w:val="9"/>
        <w:tblW w:w="946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039"/>
        <w:gridCol w:w="1087"/>
        <w:gridCol w:w="769"/>
        <w:gridCol w:w="929"/>
        <w:gridCol w:w="929"/>
        <w:gridCol w:w="1059"/>
        <w:gridCol w:w="992"/>
        <w:gridCol w:w="851"/>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序号</w:t>
            </w:r>
          </w:p>
        </w:tc>
        <w:tc>
          <w:tcPr>
            <w:tcW w:w="103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抵押物名称</w:t>
            </w:r>
          </w:p>
        </w:tc>
        <w:tc>
          <w:tcPr>
            <w:tcW w:w="1087"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存放地点</w:t>
            </w:r>
          </w:p>
        </w:tc>
        <w:tc>
          <w:tcPr>
            <w:tcW w:w="76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数量</w:t>
            </w:r>
          </w:p>
        </w:tc>
        <w:tc>
          <w:tcPr>
            <w:tcW w:w="92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品牌</w:t>
            </w:r>
          </w:p>
        </w:tc>
        <w:tc>
          <w:tcPr>
            <w:tcW w:w="92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规格型号</w:t>
            </w:r>
          </w:p>
        </w:tc>
        <w:tc>
          <w:tcPr>
            <w:tcW w:w="105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购买（生产）时间</w:t>
            </w:r>
          </w:p>
        </w:tc>
        <w:tc>
          <w:tcPr>
            <w:tcW w:w="992"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成新率</w:t>
            </w:r>
          </w:p>
        </w:tc>
        <w:tc>
          <w:tcPr>
            <w:tcW w:w="851"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评估价值或双方认定的价值</w:t>
            </w:r>
          </w:p>
        </w:tc>
        <w:tc>
          <w:tcPr>
            <w:tcW w:w="992" w:type="dxa"/>
          </w:tcPr>
          <w:p>
            <w:pPr>
              <w:pStyle w:val="2"/>
              <w:spacing w:line="435" w:lineRule="exact"/>
              <w:jc w:val="center"/>
              <w:rPr>
                <w:rFonts w:ascii="仿宋_GB2312" w:hAnsi="Times New Roman" w:eastAsia="仿宋_GB2312" w:cs="宋体"/>
                <w:kern w:val="0"/>
                <w:sz w:val="20"/>
              </w:rPr>
            </w:pPr>
            <w:r>
              <w:rPr>
                <w:rFonts w:hint="eastAsia" w:ascii="仿宋_GB2312" w:hAnsi="Times New Roman"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47" w:hRule="atLeast"/>
        </w:trPr>
        <w:tc>
          <w:tcPr>
            <w:tcW w:w="817"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${sub_dc.ROWNUM}</w:t>
            </w:r>
          </w:p>
        </w:tc>
        <w:tc>
          <w:tcPr>
            <w:tcW w:w="103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${sub_dc.SURETY_NAME}</w:t>
            </w:r>
          </w:p>
        </w:tc>
        <w:tc>
          <w:tcPr>
            <w:tcW w:w="1087"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${sub_bdc.streetAddress}</w:t>
            </w:r>
          </w:p>
        </w:tc>
        <w:tc>
          <w:tcPr>
            <w:tcW w:w="76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105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92"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851"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${sub_dc.ASSESS_VALUE}</w:t>
            </w:r>
          </w:p>
        </w:tc>
        <w:tc>
          <w:tcPr>
            <w:tcW w:w="992"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r>
    </w:tbl>
    <w:p>
      <w:pPr>
        <w:pStyle w:val="2"/>
        <w:spacing w:line="435" w:lineRule="exact"/>
        <w:ind w:firstLine="480" w:firstLineChars="200"/>
        <w:jc w:val="left"/>
        <w:rPr>
          <w:rFonts w:ascii="仿宋_GB2312" w:hAnsi="Times New Roman" w:eastAsia="仿宋_GB2312" w:cs="宋体"/>
          <w:sz w:val="24"/>
          <w:szCs w:val="24"/>
        </w:rPr>
      </w:pPr>
    </w:p>
    <w:p>
      <w:pPr>
        <w:pStyle w:val="2"/>
        <w:spacing w:line="435" w:lineRule="exact"/>
        <w:ind w:firstLine="4560" w:firstLineChars="1900"/>
        <w:rPr>
          <w:rFonts w:ascii="仿宋_GB2312" w:hAnsi="宋体" w:eastAsia="仿宋_GB2312" w:cs="宋体"/>
          <w:sz w:val="24"/>
          <w:szCs w:val="24"/>
        </w:rPr>
      </w:pP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年   月   日                             年   月  日</w:t>
      </w:r>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仿宋">
    <w:altName w:val="Arial Unicode MS"/>
    <w:panose1 w:val="00000000000000000000"/>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88077"/>
      <w:docPartObj>
        <w:docPartGallery w:val="autotext"/>
      </w:docPartObj>
    </w:sdtPr>
    <w:sdtContent>
      <w:p>
        <w:pPr>
          <w:pStyle w:val="4"/>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w:t>
    </w:r>
    <w:r>
      <w:fldChar w:fldCharType="end"/>
    </w:r>
  </w:p>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227CB"/>
    <w:rsid w:val="0002743C"/>
    <w:rsid w:val="0003747E"/>
    <w:rsid w:val="000556F4"/>
    <w:rsid w:val="00096110"/>
    <w:rsid w:val="000A7B9A"/>
    <w:rsid w:val="000B4F39"/>
    <w:rsid w:val="000C720C"/>
    <w:rsid w:val="0010185D"/>
    <w:rsid w:val="0015780D"/>
    <w:rsid w:val="0022736B"/>
    <w:rsid w:val="00252F78"/>
    <w:rsid w:val="002870A6"/>
    <w:rsid w:val="002B3AB9"/>
    <w:rsid w:val="002C0FFA"/>
    <w:rsid w:val="00306AFC"/>
    <w:rsid w:val="003676AA"/>
    <w:rsid w:val="003B3CA5"/>
    <w:rsid w:val="00420F18"/>
    <w:rsid w:val="00436ECC"/>
    <w:rsid w:val="00443ABC"/>
    <w:rsid w:val="004A3F76"/>
    <w:rsid w:val="0052089E"/>
    <w:rsid w:val="00572846"/>
    <w:rsid w:val="00581E99"/>
    <w:rsid w:val="00581ECB"/>
    <w:rsid w:val="00590D8E"/>
    <w:rsid w:val="0059463B"/>
    <w:rsid w:val="005B67D9"/>
    <w:rsid w:val="005C66A1"/>
    <w:rsid w:val="00690648"/>
    <w:rsid w:val="00693744"/>
    <w:rsid w:val="006C7240"/>
    <w:rsid w:val="006C76BA"/>
    <w:rsid w:val="006F26F2"/>
    <w:rsid w:val="00716735"/>
    <w:rsid w:val="00725868"/>
    <w:rsid w:val="0078123F"/>
    <w:rsid w:val="007B314D"/>
    <w:rsid w:val="007D4989"/>
    <w:rsid w:val="008350D5"/>
    <w:rsid w:val="008D6E38"/>
    <w:rsid w:val="008E6822"/>
    <w:rsid w:val="00971058"/>
    <w:rsid w:val="009A3DE2"/>
    <w:rsid w:val="009C7CBD"/>
    <w:rsid w:val="009D28B5"/>
    <w:rsid w:val="00A03287"/>
    <w:rsid w:val="00A07265"/>
    <w:rsid w:val="00A353E1"/>
    <w:rsid w:val="00A51605"/>
    <w:rsid w:val="00AD5D72"/>
    <w:rsid w:val="00B22E7F"/>
    <w:rsid w:val="00B72D8C"/>
    <w:rsid w:val="00BC16F4"/>
    <w:rsid w:val="00BF3711"/>
    <w:rsid w:val="00C20371"/>
    <w:rsid w:val="00C20541"/>
    <w:rsid w:val="00C23105"/>
    <w:rsid w:val="00C575C3"/>
    <w:rsid w:val="00C96AE6"/>
    <w:rsid w:val="00CC1BF6"/>
    <w:rsid w:val="00CD1C55"/>
    <w:rsid w:val="00D16CA1"/>
    <w:rsid w:val="00D946D8"/>
    <w:rsid w:val="00DA4B0F"/>
    <w:rsid w:val="00DF53EB"/>
    <w:rsid w:val="00E00C68"/>
    <w:rsid w:val="00E126C4"/>
    <w:rsid w:val="00E33D4D"/>
    <w:rsid w:val="00E340A1"/>
    <w:rsid w:val="00E532BC"/>
    <w:rsid w:val="00E8338B"/>
    <w:rsid w:val="00EC3E1A"/>
    <w:rsid w:val="00ED7455"/>
    <w:rsid w:val="00F77184"/>
    <w:rsid w:val="00F93DEE"/>
    <w:rsid w:val="187F3C8A"/>
    <w:rsid w:val="405812CB"/>
    <w:rsid w:val="6AB05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2"/>
    <w:qFormat/>
    <w:uiPriority w:val="0"/>
    <w:rPr>
      <w:rFonts w:ascii="宋体" w:hAnsi="Courier New" w:cs="Courier New"/>
      <w:szCs w:val="21"/>
    </w:rPr>
  </w:style>
  <w:style w:type="paragraph" w:styleId="3">
    <w:name w:val="Balloon Text"/>
    <w:basedOn w:val="1"/>
    <w:link w:val="13"/>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table" w:styleId="9">
    <w:name w:val="Table Grid"/>
    <w:basedOn w:val="8"/>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纯文本 Char"/>
    <w:basedOn w:val="6"/>
    <w:link w:val="2"/>
    <w:qFormat/>
    <w:uiPriority w:val="0"/>
    <w:rPr>
      <w:rFonts w:ascii="宋体" w:hAnsi="Courier New" w:eastAsia="宋体" w:cs="Courier New"/>
      <w:szCs w:val="21"/>
    </w:rPr>
  </w:style>
  <w:style w:type="character" w:customStyle="1" w:styleId="13">
    <w:name w:val="批注框文本 Char"/>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1239</Words>
  <Characters>7068</Characters>
  <Lines>58</Lines>
  <Paragraphs>16</Paragraphs>
  <ScaleCrop>false</ScaleCrop>
  <LinksUpToDate>false</LinksUpToDate>
  <CharactersWithSpaces>8291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2017-11-20T02:10:00Z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