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保 证 合 同</w:t>
      </w: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spacing w:before="50" w:line="480" w:lineRule="auto"/>
        <w:jc w:val="center"/>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ind w:firstLine="480" w:firstLineChars="200"/>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保 证 合 同</w:t>
      </w:r>
    </w:p>
    <w:p>
      <w:pPr>
        <w:pStyle w:val="2"/>
        <w:spacing w:line="435" w:lineRule="exact"/>
        <w:jc w:val="right"/>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保证人（以下简称甲方）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债权人（以下简称乙方）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ind w:firstLine="480"/>
        <w:rPr>
          <w:rFonts w:ascii="仿宋_GB2312" w:hAnsi="宋体" w:eastAsia="仿宋_GB2312" w:cs="宋体"/>
          <w:color w:val="FF0000"/>
          <w:sz w:val="24"/>
          <w:szCs w:val="24"/>
          <w:u w:val="single"/>
        </w:rPr>
      </w:pPr>
    </w:p>
    <w:p>
      <w:pPr>
        <w:spacing w:line="435" w:lineRule="exact"/>
        <w:ind w:left="105" w:leftChars="50" w:firstLine="360" w:firstLineChars="15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ascii="仿宋_GB2312" w:eastAsia="仿宋_GB2312" w:cs="宋体"/>
          <w:sz w:val="24"/>
          <w:szCs w:val="24"/>
        </w:rPr>
        <w:t>(</w:t>
      </w:r>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CON_REPORT_NAME</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》(以下简称主合同)的履行，担保乙方债权的实现，甲方愿意为债务人在主合同项下的债务提供连带责任保证担保。经甲乙双方协商一致，订立本合同，以资共同遵守。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Times New Roman" w:eastAsia="仿宋_GB2312" w:cs="宋体"/>
          <w:sz w:val="24"/>
          <w:szCs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Times New Roman" w:eastAsia="仿宋_GB2312" w:cs="宋体"/>
          <w:sz w:val="24"/>
          <w:szCs w:val="24"/>
          <w:u w:val="single"/>
        </w:rPr>
        <w:t>_CN</w:t>
      </w:r>
      <w:r>
        <w:rPr>
          <w:rFonts w:ascii="仿宋_GB2312" w:hAnsi="Times New Roman" w:eastAsia="仿宋_GB2312" w:cs="宋体"/>
          <w:sz w:val="24"/>
          <w:szCs w:val="24"/>
          <w:u w:val="single"/>
        </w:rPr>
        <w:t>}</w:t>
      </w:r>
      <w:r>
        <w:rPr>
          <w:rFonts w:hint="eastAsia" w:ascii="仿宋_GB2312" w:hAnsi="仿宋" w:eastAsia="仿宋_GB2312"/>
          <w:snapToGrid w:val="0"/>
          <w:spacing w:val="6"/>
          <w:kern w:val="0"/>
          <w:sz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保证范围</w:t>
      </w:r>
    </w:p>
    <w:p>
      <w:pPr>
        <w:pStyle w:val="2"/>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本合同的保证范围为以下第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仿宋" w:eastAsia="仿宋_GB2312"/>
          <w:snapToGrid w:val="0"/>
          <w:spacing w:val="6"/>
          <w:kern w:val="0"/>
          <w:sz w:val="24"/>
        </w:rPr>
        <w:t>及</w:t>
      </w:r>
      <w:r>
        <w:rPr>
          <w:rFonts w:hint="eastAsia" w:ascii="仿宋_GB2312" w:hAnsi="Times New Roman" w:eastAsia="仿宋_GB2312" w:cs="宋体"/>
          <w:sz w:val="24"/>
          <w:szCs w:val="24"/>
        </w:rPr>
        <w:t>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第三条　保证方式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保证方式为连带责任保证。本合同项下有多个保证人的，各保证人共同对乙方承担连带保证责任。</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第四条　保证期间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一、保证期间为主债务履行期限届满之日起三年。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二、银行承兑汇票承兑、开立信用证和保函项下的保证期间为乙方垫款之日起三年；分次垫款的，保证期间从最后一笔垫款之日起开始计算。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三、商业汇票贴现的保证期间为贴现票据到期之日起三年。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四、乙方按照主合同约定或法律规定宣布债务提前到期的,保证期间自乙方确定的主合同债务提前到期之日起三年。</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sz w:val="24"/>
          <w:szCs w:val="24"/>
        </w:rPr>
        <w:t>五、如主债务分期履行的，保证期间为最后一期履行期限届满之日起三年</w:t>
      </w:r>
      <w:r>
        <w:rPr>
          <w:rFonts w:hint="eastAsia" w:ascii="仿宋_GB2312" w:hAnsi="Times New Roman" w:eastAsia="仿宋_GB2312" w:cs="宋体"/>
          <w:b/>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六、乙方与债务人就主债务履行期限达成展期协议，甲方在此确认，展期协议无须经过甲方同意，甲方对展期后的债务继续承担连带保证责任，保证期间为展期协议约定的债务履行期限届满之日起三年。</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第五条　保证责任</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一、如果主合同项下债务到期或者根据主合同约定或法律规定乙方宣布债务提前到期，债务人未按时足额偿还债务或者债务人违反主合同的约定，甲方应在保证范围内立即承担连带保证责任。</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w:t>
      </w:r>
      <w:r>
        <w:rPr>
          <w:rFonts w:hint="eastAsia" w:ascii="仿宋_GB2312" w:hAnsi="Times New Roman" w:eastAsia="仿宋_GB2312" w:cs="宋体"/>
          <w:sz w:val="24"/>
          <w:szCs w:val="24"/>
        </w:rPr>
        <w:t>少</w:t>
      </w:r>
      <w:r>
        <w:rPr>
          <w:rFonts w:ascii="仿宋_GB2312" w:hAnsi="Times New Roman" w:eastAsia="仿宋_GB2312" w:cs="宋体"/>
          <w:sz w:val="24"/>
          <w:szCs w:val="24"/>
        </w:rPr>
        <w:t>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w:t>
      </w:r>
      <w:r>
        <w:rPr>
          <w:rFonts w:hint="eastAsia" w:ascii="仿宋_GB2312" w:hAnsi="Times New Roman" w:eastAsia="仿宋_GB2312" w:cs="宋体"/>
          <w:sz w:val="24"/>
          <w:szCs w:val="24"/>
        </w:rPr>
        <w:t>保证</w:t>
      </w:r>
      <w:r>
        <w:rPr>
          <w:rFonts w:ascii="仿宋_GB2312" w:hAnsi="Times New Roman" w:eastAsia="仿宋_GB2312" w:cs="宋体"/>
          <w:sz w:val="24"/>
          <w:szCs w:val="24"/>
        </w:rPr>
        <w:t>责任。</w:t>
      </w:r>
    </w:p>
    <w:p>
      <w:pPr>
        <w:pStyle w:val="2"/>
        <w:snapToGrid w:val="0"/>
        <w:spacing w:line="435" w:lineRule="exact"/>
        <w:ind w:firstLine="480" w:firstLineChars="200"/>
        <w:rPr>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承担连带保证责任，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承担的保证责任不受任何其他担保的影响，其保证责任的承担也不以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同意其在本合同项下的保证责任并不因之而免除或减</w:t>
      </w:r>
      <w:r>
        <w:rPr>
          <w:szCs w:val="24"/>
        </w:rPr>
        <w:t>少。</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第六条甲方的其他义务与责任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二、如果乙方与债务人协议变更除主债权金额以外的主合同条款</w:t>
      </w:r>
      <w:r>
        <w:rPr>
          <w:rFonts w:ascii="仿宋_GB2312" w:eastAsia="仿宋_GB2312" w:cs="宋体"/>
          <w:sz w:val="24"/>
          <w:szCs w:val="24"/>
        </w:rPr>
        <w:t>(</w:t>
      </w:r>
      <w:r>
        <w:rPr>
          <w:rFonts w:hint="eastAsia" w:ascii="仿宋_GB2312" w:eastAsia="仿宋_GB2312" w:cs="宋体"/>
          <w:sz w:val="24"/>
          <w:szCs w:val="24"/>
        </w:rPr>
        <w:t>包括但不限于变更偿还币种、还款方式、贷款账号、还款账号、提款计划、还款计划、起息日、结息日等</w:t>
      </w:r>
      <w:r>
        <w:rPr>
          <w:rFonts w:ascii="仿宋_GB2312" w:eastAsia="仿宋_GB2312" w:cs="宋体"/>
          <w:sz w:val="24"/>
          <w:szCs w:val="24"/>
        </w:rPr>
        <w:t>)，甲方同意对变更后的主合同项下债务</w:t>
      </w:r>
      <w:r>
        <w:rPr>
          <w:rFonts w:hint="eastAsia" w:ascii="仿宋_GB2312" w:eastAsia="仿宋_GB2312" w:cs="宋体"/>
          <w:sz w:val="24"/>
          <w:szCs w:val="24"/>
        </w:rPr>
        <w:t>继续承担连带保证责任。如果乙方与债务人协议办理主债务履行期限展期的，甲方继续承担连带保证责任,保证期间按照本合同第四条第六款的约定执行。如果乙方与债务人协议变更增加主债权本金金额的，甲方仅依据本合同的约定对原主债务承担担保责任。</w:t>
      </w:r>
    </w:p>
    <w:p>
      <w:pPr>
        <w:spacing w:line="435" w:lineRule="exact"/>
        <w:ind w:firstLine="600" w:firstLineChars="250"/>
        <w:rPr>
          <w:rFonts w:ascii="仿宋_GB2312" w:eastAsia="仿宋_GB2312" w:cs="宋体"/>
          <w:sz w:val="24"/>
          <w:szCs w:val="24"/>
        </w:rPr>
      </w:pPr>
      <w:r>
        <w:rPr>
          <w:rFonts w:hint="eastAsia" w:ascii="仿宋_GB2312" w:eastAsia="仿宋_GB2312" w:cs="宋体"/>
          <w:sz w:val="24"/>
          <w:szCs w:val="24"/>
        </w:rPr>
        <w:t>三、如果乙方根据主合同的约定或者国家的利率政策变化而调整利率水平、计息或结息方式，导致债务人应偿还的利息、罚息、复利增加的，对增加部分，甲方也应一并承担连带保证责任。</w:t>
      </w:r>
    </w:p>
    <w:p>
      <w:pPr>
        <w:spacing w:line="435" w:lineRule="exact"/>
        <w:ind w:firstLine="600" w:firstLineChars="250"/>
        <w:rPr>
          <w:rFonts w:ascii="仿宋_GB2312" w:eastAsia="仿宋_GB2312" w:cs="宋体"/>
          <w:sz w:val="24"/>
          <w:szCs w:val="24"/>
        </w:rPr>
      </w:pPr>
      <w:r>
        <w:rPr>
          <w:rFonts w:hint="eastAsia" w:ascii="仿宋_GB2312" w:eastAsia="仿宋_GB2312" w:cs="宋体"/>
          <w:sz w:val="24"/>
          <w:szCs w:val="24"/>
        </w:rPr>
        <w:t>四、在甲方未按约定履行全部担保责任,只承担了部份担保责任的情况下，甲方承诺：(一)甲方同意不向债务人或其他担保人主张代位权或追偿权；如因任何原因，甲方实现了上述权利，则应将所获款项优先用于履行担保责任；(二)若债务人或其他第三人为甲方提供了反担保，则甲方基于上述反担保而获得的款项，应优先用于履行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知道或者应当知道债务人进入破产或解散程序的（人民法院或企业发出公告的视为甲方应当知道），甲方应自己及时参加破产或解散程序，申报权利或预先行使追偿权，而无须乙方通知。甲方未能及时申报权利或预先行使追偿权，造成的损失由其自行承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在债务人破产程序中，如果乙方与债务人达成和解协议或者同意重整计划，乙方的权利不因和解协议或重整计划而受到损害，甲方的保证责任也不因此而减免。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六、甲方应当配合乙方对其进行贷后管理、相关检查及信用评级工作，并按乙方要求如实提供有关的财务报表、凭证、资料和单据等。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如需进行承包、租赁等经营方式变更，或进行股份制改造或发生合并、分立、对外投资、实质性增加债务融资、持有20％以上股权的股东全部或部分转让其股份的，以及停业、申请解散、破产等可能影响担保责任承担的情形时，应事先征得乙方书面同意，并落实令乙方满意的担保措施，否则不得实施上述行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八、甲方应当在发生下列重大事项时的三日内及时书面通知乙方：</w:t>
      </w:r>
    </w:p>
    <w:p>
      <w:pPr>
        <w:pStyle w:val="2"/>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重大违法违规事件或被处罚、索赔事件；（四）涉及到的诉讼、仲裁事件；（五）向其他银行增加授信或向第三方提供担保；（六）担保人财务状况恶化或因其他原因导致担保能力明显下降；（七）其资产、银行账户被有权机关查封、扣押、冻结；（八）其他影响甲方担保能力的重大不利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黑体" w:eastAsia="仿宋_GB2312" w:cs="黑体"/>
          <w:b/>
          <w:bCs/>
          <w:sz w:val="24"/>
          <w:szCs w:val="24"/>
        </w:rPr>
        <w:t>第七条　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五、甲方知悉并认可主合同约定的全部内容；对债务人的情况以及本次担保的风险均有充分的认识，并在此基础之上自愿提供担保。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六、甲方保证配合乙方对其作全面的尽职调查，同意乙方进入其企业端“企业防伪税控系统”查询相关信息；</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七、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2"/>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九、</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十、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spacing w:line="435" w:lineRule="exact"/>
        <w:ind w:firstLine="480" w:firstLineChars="200"/>
        <w:rPr>
          <w:rFonts w:ascii="仿宋_GB2312" w:eastAsia="仿宋_GB2312" w:cs="宋体"/>
          <w:b/>
          <w:bCs/>
          <w:sz w:val="24"/>
          <w:szCs w:val="24"/>
        </w:rPr>
      </w:pPr>
      <w:r>
        <w:rPr>
          <w:rFonts w:hint="eastAsia" w:ascii="仿宋_GB2312" w:eastAsia="仿宋_GB2312" w:cs="宋体"/>
          <w:b/>
          <w:bCs/>
          <w:sz w:val="24"/>
          <w:szCs w:val="24"/>
        </w:rPr>
        <w:t>第八条　乙方权利</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一、按照法律规定和本合同的约定甲方应当承担连带保证责任的，乙方有权直接扣划甲方在乙方或绵阳市商业银行所有营业机构开立账户中的款项用于清偿主债务。乙方在扣划款项时，账户中的币种与主债务币种不同的，按扣划当天乙方公布的外汇牌价折算。乙方扣划款项的，无须通知甲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二、乙方有权要求甲方提供反映其经营情况、财务情况及信用情况的财务报告、经营合同、银行流水及其他凭证、资料和单据。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三、如果除主合同项下的债务外，债务人对乙方还负有其它到期债务，债务人偿还的款项不足以清偿所有债务的，乙方有权决定清偿任何一笔到期债务，对此甲方不得提出任何异议或抗辩。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六、甲方发生解散或破产的，即使主合同项下债权尚未到期，乙方也有权参加甲方清算或破产程序，申报权利。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八、甲方未履行或未完全履行保证责任或有其它违约行为的，乙方有权在电视、广播、报纸、网络等公共媒体上公开甲方的违约信息或进行催告。</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第九条　违约责任</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一、发生下列情形之一的，即构成甲方违约：</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（二）甲方经营状况恶化或停止经营、歇业、被宣告破产、解散、被吊销营业执照、被撤销的；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（三）甲方发生重大财务亏损、资产损失包括因对外担保而发生资产损失，或其他财务危机，乙方认定可能影响其担保能力承担的；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不履行与其他金融机构签订的相关合同协议或在其他金融机构的授信出现逾期、欠息、担保逾期等征信不良记录或被其他金融机构提起诉讼、仲裁、申请执行以及涉及对甲方经营或财产状况产生不利后果的任何其他诉讼、仲裁、申请执行或刑事、行政处罚，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（五）甲方不履行与乙方签订的其他合同、协议（包括主合同和担保合同）约定的义务的；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（六）甲方的法定代表人、主要负责人、实际控制人或其它高级管理人员出现受到刑事追诉、被采取强制措施、被有关机关调查、失踪、失联、死亡等情况，乙方认定可能影响其担保能力承担的；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（七）甲方对其他债权人发生违约情形或其资产、银行账户被有关机关采取查封、冻结、扣押等执行或保全措施的；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（八）甲方的控股股东及其他关联公司经营或财务方面出现重大危机或甲方与控股股东及其他关联公司之间发生重大关联交易严重影响甲方的正常经营；乙方认定可能影响其担保能力承担的；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（九）出现其它可能导致甲方担保能力丧失或显著下降的事件。</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二、甲方违约的，乙方有权宣布主债务提前到期，并要求甲方立即承担连带保证责任。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本保证合同所设立的担保具有独立性，无论何种情况，本保证合同不因主合同的无效而无效。如主合同被确认无效、被撤销，则甲方对主债务人因返还财产或赔偿损失而形成的债务也承担连带保证责任。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第十一条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第十二条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第十三条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三、 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第十四条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color w:val="FF0000"/>
          <w:sz w:val="24"/>
          <w:szCs w:val="24"/>
          <w:u w:val="single"/>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2"/>
        <w:tabs>
          <w:tab w:val="left" w:pos="3126"/>
        </w:tabs>
        <w:spacing w:line="435" w:lineRule="exact"/>
        <w:jc w:val="right"/>
      </w:pP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56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9609713"/>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B79E6"/>
    <w:rsid w:val="00160E83"/>
    <w:rsid w:val="00176427"/>
    <w:rsid w:val="003027A9"/>
    <w:rsid w:val="00365135"/>
    <w:rsid w:val="003F1CC9"/>
    <w:rsid w:val="004572DC"/>
    <w:rsid w:val="005345E9"/>
    <w:rsid w:val="00574E98"/>
    <w:rsid w:val="00581ECB"/>
    <w:rsid w:val="005A0392"/>
    <w:rsid w:val="005C0667"/>
    <w:rsid w:val="005E6909"/>
    <w:rsid w:val="006145DA"/>
    <w:rsid w:val="00620C51"/>
    <w:rsid w:val="0068524F"/>
    <w:rsid w:val="00691189"/>
    <w:rsid w:val="007000F8"/>
    <w:rsid w:val="007132DC"/>
    <w:rsid w:val="007A106E"/>
    <w:rsid w:val="007A39F5"/>
    <w:rsid w:val="007B4454"/>
    <w:rsid w:val="008A2C5E"/>
    <w:rsid w:val="008E707D"/>
    <w:rsid w:val="00AA23D1"/>
    <w:rsid w:val="00AD3A76"/>
    <w:rsid w:val="00AE15D1"/>
    <w:rsid w:val="00B87DA5"/>
    <w:rsid w:val="00C71961"/>
    <w:rsid w:val="00C87344"/>
    <w:rsid w:val="00C87C8F"/>
    <w:rsid w:val="00CB0478"/>
    <w:rsid w:val="00CD1C55"/>
    <w:rsid w:val="00DB7627"/>
    <w:rsid w:val="00E14183"/>
    <w:rsid w:val="00E53093"/>
    <w:rsid w:val="00F539DE"/>
    <w:rsid w:val="00F77184"/>
    <w:rsid w:val="00F91B8A"/>
    <w:rsid w:val="00F9322C"/>
    <w:rsid w:val="00FF4C42"/>
    <w:rsid w:val="0C433ECE"/>
    <w:rsid w:val="3FB94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Courier New"/>
      <w:szCs w:val="21"/>
    </w:rPr>
  </w:style>
  <w:style w:type="paragraph" w:styleId="3">
    <w:name w:val="Balloon Text"/>
    <w:basedOn w:val="1"/>
    <w:link w:val="12"/>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character" w:customStyle="1" w:styleId="9">
    <w:name w:val="页眉 Char"/>
    <w:basedOn w:val="6"/>
    <w:link w:val="5"/>
    <w:qFormat/>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纯文本 Char"/>
    <w:basedOn w:val="6"/>
    <w:link w:val="2"/>
    <w:qFormat/>
    <w:uiPriority w:val="0"/>
    <w:rPr>
      <w:rFonts w:ascii="宋体" w:hAnsi="Courier New" w:eastAsia="宋体" w:cs="Courier New"/>
      <w:szCs w:val="21"/>
    </w:rPr>
  </w:style>
  <w:style w:type="character" w:customStyle="1" w:styleId="12">
    <w:name w:val="批注框文本 Char"/>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1074</Words>
  <Characters>6128</Characters>
  <Lines>51</Lines>
  <Paragraphs>14</Paragraphs>
  <ScaleCrop>false</ScaleCrop>
  <LinksUpToDate>false</LinksUpToDate>
  <CharactersWithSpaces>7188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2017-11-20T02:09:39Z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