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eastAsia="仿宋_GB2312" w:cs="宋体" w:asciiTheme="minorHAnsi" w:hAnsiTheme="minorHAnsi"/>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最高额保证合同</w:t>
      </w:r>
    </w:p>
    <w:p>
      <w:pPr>
        <w:pStyle w:val="2"/>
        <w:spacing w:line="530" w:lineRule="exact"/>
        <w:jc w:val="center"/>
        <w:outlineLvl w:val="0"/>
        <w:rPr>
          <w:rFonts w:ascii="仿宋_GB2312" w:hAnsi="宋体" w:eastAsia="仿宋_GB2312" w:cs="宋体"/>
          <w:sz w:val="36"/>
          <w:szCs w:val="36"/>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2017年9月版</w:t>
      </w: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ind w:firstLine="480" w:firstLineChars="200"/>
        <w:rPr>
          <w:rFonts w:ascii="仿宋_GB2312" w:hAnsi="宋体" w:eastAsia="仿宋_GB2312" w:cs="宋体"/>
          <w:sz w:val="24"/>
          <w:szCs w:val="2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最高额保证合同</w:t>
      </w: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保证人（以下简称甲方）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法定代表人：</w:t>
      </w:r>
      <w:r>
        <w:rPr>
          <w:rFonts w:ascii="仿宋_GB2312" w:hAnsi="Times New Roman" w:eastAsia="仿宋_GB2312" w:cs="宋体"/>
          <w:sz w:val="24"/>
          <w:szCs w:val="24"/>
          <w:u w:val="single"/>
        </w:rPr>
        <w:t>${a.LEGAL_NAME}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${a.ZIP_NUM}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债权人（以下简称乙方）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jc w:val="center"/>
        <w:rPr>
          <w:rFonts w:ascii="仿宋_GB2312" w:hAnsi="Times New Roman" w:eastAsia="仿宋_GB2312" w:cs="宋体"/>
          <w:sz w:val="24"/>
          <w:szCs w:val="24"/>
        </w:rPr>
      </w:pPr>
    </w:p>
    <w:p>
      <w:pPr>
        <w:pStyle w:val="2"/>
        <w:snapToGrid w:val="0"/>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（以下简称债务人）在一定期间内（以下简称债权确定期间）连续发生的一系列债权提供保证担保</w:t>
      </w:r>
      <w:r>
        <w:rPr>
          <w:rFonts w:hint="eastAsia" w:ascii="仿宋_GB2312" w:eastAsia="仿宋_GB2312" w:cs="宋体"/>
          <w:sz w:val="24"/>
          <w:szCs w:val="24"/>
        </w:rPr>
        <w:t>，经甲乙双方协商一致，订立本合同，以资共同遵守。</w:t>
      </w:r>
    </w:p>
    <w:p>
      <w:pPr>
        <w:pStyle w:val="2"/>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2"/>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435" w:lineRule="exact"/>
        <w:rPr>
          <w:rFonts w:ascii="仿宋_GB2312" w:eastAsia="仿宋_GB2312" w:cs="宋体"/>
          <w:color w:val="FF0000"/>
          <w:sz w:val="24"/>
          <w:szCs w:val="24"/>
        </w:rPr>
      </w:pPr>
      <w:r>
        <w:rPr>
          <w:rFonts w:hint="eastAsia" w:ascii="仿宋_GB2312" w:eastAsia="仿宋_GB2312" w:cs="宋体"/>
          <w:sz w:val="24"/>
          <w:szCs w:val="24"/>
        </w:rPr>
        <w:t xml:space="preserve">    一、本合同项下保证担保的债权最高本金限额为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二、第一款约定的</w:t>
      </w:r>
      <w:r>
        <w:rPr>
          <w:rFonts w:ascii="仿宋_GB2312" w:eastAsia="仿宋_GB2312" w:cs="宋体"/>
          <w:sz w:val="24"/>
          <w:szCs w:val="24"/>
        </w:rPr>
        <w:t>最高债权</w:t>
      </w:r>
      <w:r>
        <w:rPr>
          <w:rFonts w:hint="eastAsia" w:ascii="仿宋_GB2312" w:eastAsia="仿宋_GB2312" w:cs="宋体"/>
          <w:sz w:val="24"/>
          <w:szCs w:val="24"/>
        </w:rPr>
        <w:t>限</w:t>
      </w:r>
      <w:r>
        <w:rPr>
          <w:rFonts w:ascii="仿宋_GB2312" w:eastAsia="仿宋_GB2312" w:cs="宋体"/>
          <w:sz w:val="24"/>
          <w:szCs w:val="24"/>
        </w:rPr>
        <w:t>额</w:t>
      </w:r>
      <w:r>
        <w:rPr>
          <w:rFonts w:hint="eastAsia" w:ascii="仿宋_GB2312" w:eastAsia="仿宋_GB2312" w:cs="宋体"/>
          <w:sz w:val="24"/>
          <w:szCs w:val="24"/>
        </w:rPr>
        <w:t>是指</w:t>
      </w:r>
      <w:r>
        <w:rPr>
          <w:rFonts w:ascii="仿宋_GB2312" w:eastAsia="仿宋_GB2312" w:cs="宋体"/>
          <w:sz w:val="24"/>
          <w:szCs w:val="24"/>
        </w:rPr>
        <w:t>主债权本金的最高限额，在</w:t>
      </w:r>
      <w:r>
        <w:rPr>
          <w:rFonts w:hint="eastAsia" w:ascii="仿宋_GB2312" w:eastAsia="仿宋_GB2312" w:cs="宋体"/>
          <w:sz w:val="24"/>
          <w:szCs w:val="24"/>
        </w:rPr>
        <w:t>债权</w:t>
      </w:r>
      <w:r>
        <w:rPr>
          <w:rFonts w:ascii="仿宋_GB2312" w:eastAsia="仿宋_GB2312" w:cs="宋体"/>
          <w:sz w:val="24"/>
          <w:szCs w:val="24"/>
        </w:rPr>
        <w:t>本金</w:t>
      </w:r>
      <w:r>
        <w:rPr>
          <w:rFonts w:hint="eastAsia" w:ascii="仿宋_GB2312" w:eastAsia="仿宋_GB2312" w:cs="宋体"/>
          <w:sz w:val="24"/>
          <w:szCs w:val="24"/>
        </w:rPr>
        <w:t>余额</w:t>
      </w:r>
      <w:r>
        <w:rPr>
          <w:rFonts w:ascii="仿宋_GB2312" w:eastAsia="仿宋_GB2312" w:cs="宋体"/>
          <w:sz w:val="24"/>
          <w:szCs w:val="24"/>
        </w:rPr>
        <w:t>不超过上述限额的前提下，由此而产生的本合同第</w:t>
      </w:r>
      <w:r>
        <w:rPr>
          <w:rFonts w:hint="eastAsia" w:ascii="仿宋_GB2312" w:eastAsia="仿宋_GB2312" w:cs="宋体"/>
          <w:sz w:val="24"/>
          <w:szCs w:val="24"/>
        </w:rPr>
        <w:t>五</w:t>
      </w:r>
      <w:r>
        <w:rPr>
          <w:rFonts w:ascii="仿宋_GB2312" w:eastAsia="仿宋_GB2312" w:cs="宋体"/>
          <w:sz w:val="24"/>
          <w:szCs w:val="24"/>
        </w:rPr>
        <w:t>条约定范围内的利息、罚息、</w:t>
      </w:r>
      <w:r>
        <w:rPr>
          <w:rFonts w:hint="eastAsia" w:ascii="仿宋_GB2312" w:eastAsia="仿宋_GB2312" w:cs="宋体"/>
          <w:sz w:val="24"/>
          <w:szCs w:val="24"/>
        </w:rPr>
        <w:t>复利、违约金、损害赔偿金、实现债权的全部</w:t>
      </w:r>
      <w:r>
        <w:rPr>
          <w:rFonts w:ascii="仿宋_GB2312" w:eastAsia="仿宋_GB2312" w:cs="宋体"/>
          <w:sz w:val="24"/>
          <w:szCs w:val="24"/>
        </w:rPr>
        <w:t>费用</w:t>
      </w:r>
      <w:r>
        <w:rPr>
          <w:rFonts w:hint="eastAsia" w:ascii="仿宋_GB2312" w:eastAsia="仿宋_GB2312" w:cs="宋体"/>
          <w:sz w:val="24"/>
          <w:szCs w:val="24"/>
        </w:rPr>
        <w:t>也由甲方一并承担保证担保责任。</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三、乙方与债务人可以循环、多次的发生债权，不论每次的金额如何，只要债权本金余额在第一款约定的限额内，那么甲方即对这些债权的本金以及</w:t>
      </w:r>
      <w:r>
        <w:rPr>
          <w:rFonts w:ascii="仿宋_GB2312" w:eastAsia="仿宋_GB2312" w:cs="宋体"/>
          <w:sz w:val="24"/>
          <w:szCs w:val="24"/>
        </w:rPr>
        <w:t>利息、罚息、</w:t>
      </w:r>
      <w:r>
        <w:rPr>
          <w:rFonts w:hint="eastAsia" w:ascii="仿宋_GB2312" w:eastAsia="仿宋_GB2312" w:cs="宋体"/>
          <w:sz w:val="24"/>
          <w:szCs w:val="24"/>
        </w:rPr>
        <w:t>复利、违约金、损害赔偿金、实现债权的全部</w:t>
      </w:r>
      <w:r>
        <w:rPr>
          <w:rFonts w:ascii="仿宋_GB2312" w:eastAsia="仿宋_GB2312" w:cs="宋体"/>
          <w:sz w:val="24"/>
          <w:szCs w:val="24"/>
        </w:rPr>
        <w:t>费用</w:t>
      </w:r>
      <w:r>
        <w:rPr>
          <w:rFonts w:hint="eastAsia" w:ascii="仿宋_GB2312" w:eastAsia="仿宋_GB2312" w:cs="宋体"/>
          <w:sz w:val="24"/>
          <w:szCs w:val="24"/>
        </w:rPr>
        <w:t>均承担保证担保责任。</w:t>
      </w:r>
    </w:p>
    <w:p>
      <w:pPr>
        <w:pStyle w:val="2"/>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2"/>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2"/>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二、以上债权确定期间的具体含义为：</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2"/>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3.每笔债权的到期日以具体业务合同、借款凭证等的约定为准，不受债权确定期间是否届满的限制（即可以超过债权确定期间的届满日）。 </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4.只要主债权满足以上第1项或第2项的约定，不论主债权项下的垫款、利息、罚息、复利、违约金、损害赔偿金、实现债权的费用等的实际形成时间是否在债权确定期间内，都属于本合同的担保范围。</w:t>
      </w:r>
    </w:p>
    <w:p>
      <w:pPr>
        <w:pStyle w:val="2"/>
        <w:tabs>
          <w:tab w:val="left" w:pos="1570"/>
        </w:tabs>
        <w:snapToGrid w:val="0"/>
        <w:spacing w:line="435" w:lineRule="exact"/>
        <w:jc w:val="left"/>
        <w:rPr>
          <w:rFonts w:ascii="仿宋_GB2312" w:eastAsia="仿宋_GB2312" w:cs="宋体"/>
          <w:b/>
          <w:sz w:val="24"/>
          <w:szCs w:val="24"/>
        </w:rPr>
      </w:pPr>
      <w:r>
        <w:rPr>
          <w:rFonts w:hint="eastAsia" w:ascii="仿宋_GB2312" w:eastAsia="仿宋_GB2312" w:cs="宋体"/>
          <w:b/>
          <w:sz w:val="24"/>
          <w:szCs w:val="24"/>
        </w:rPr>
        <w:t xml:space="preserve">  第四条 保证方式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甲方的保证方式为连带责任保证。本合同项下有多个保证人的，各保证人共同对乙方承担连带保证责任。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保证范围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保证担保范围为主合同项下的全部主债权本金、利息、罚息、复利、违约金、损害赔偿金、乙方实现债权的全部费用等。乙方实现债权的全部费用包括但不限于诉讼费、仲裁费、财产保全费、申请执行费、律师费、公告费、评估费、鉴定费、拍卖费、差旅费、通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的全部费用都属于被担保的范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三、第二条第一款约定的债权最高本金限额不是甲方承担担保责任的最高限额，甲方承担担保责任的最高限额应当按照第二条第二款、第三款，第五条第一款、第二款的约定予以确定。</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保证期间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一、本合同项下每笔债务的保证期间均为三年，自每笔主债务履行期限届满之日起开始计算。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二、银行承兑汇票承兑、开立信用证和保函项下的保证期间为乙方垫款之日起三年；分次垫款的，保证期间从最后一笔垫款之日起开始计算。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三、商业汇票贴现的保证期间为贴现票据到期之日起三年。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四、乙方按照主合同约定或法律规定宣布债务提前到期的,保证期间自乙方确定的主合同债务提前到期之日起三年。</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sz w:val="24"/>
          <w:szCs w:val="24"/>
        </w:rPr>
        <w:t>五、如主债务分期履行的，保证期间为最后一期履行期限届满之日起三年</w:t>
      </w:r>
      <w:r>
        <w:rPr>
          <w:rFonts w:hint="eastAsia" w:ascii="仿宋_GB2312" w:hAnsi="Times New Roman" w:eastAsia="仿宋_GB2312" w:cs="宋体"/>
          <w:b/>
          <w:sz w:val="24"/>
          <w:szCs w:val="24"/>
        </w:rPr>
        <w:t>。</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保证责任</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一、如果主合同项下债务到期或者根据主合同约定或法律规定乙方宣布债务提前到期，债务人未按时足额偿还债务或者债务人违反主合同的约定，甲方应在保证范围内立即承担连带保证责任。</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w:t>
      </w:r>
      <w:r>
        <w:rPr>
          <w:rFonts w:hint="eastAsia" w:ascii="仿宋_GB2312" w:hAnsi="Times New Roman" w:eastAsia="仿宋_GB2312" w:cs="宋体"/>
          <w:sz w:val="24"/>
          <w:szCs w:val="24"/>
        </w:rPr>
        <w:t>少</w:t>
      </w:r>
      <w:r>
        <w:rPr>
          <w:rFonts w:ascii="仿宋_GB2312" w:hAnsi="Times New Roman" w:eastAsia="仿宋_GB2312" w:cs="宋体"/>
          <w:sz w:val="24"/>
          <w:szCs w:val="24"/>
        </w:rPr>
        <w:t>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w:t>
      </w:r>
      <w:r>
        <w:rPr>
          <w:rFonts w:hint="eastAsia" w:ascii="仿宋_GB2312" w:hAnsi="Times New Roman" w:eastAsia="仿宋_GB2312" w:cs="宋体"/>
          <w:sz w:val="24"/>
          <w:szCs w:val="24"/>
        </w:rPr>
        <w:t>保证</w:t>
      </w:r>
      <w:r>
        <w:rPr>
          <w:rFonts w:ascii="仿宋_GB2312" w:hAnsi="Times New Roman" w:eastAsia="仿宋_GB2312" w:cs="宋体"/>
          <w:sz w:val="24"/>
          <w:szCs w:val="24"/>
        </w:rPr>
        <w:t>责任。</w:t>
      </w:r>
    </w:p>
    <w:p>
      <w:pPr>
        <w:pStyle w:val="2"/>
        <w:snapToGrid w:val="0"/>
        <w:spacing w:line="435" w:lineRule="exact"/>
        <w:ind w:firstLine="480" w:firstLineChars="200"/>
        <w:rPr>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承担连带保证责任，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承担的保证责任不受任何其他担保的影响，其保证责任的承担也不以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同意其在本合同项下的保证责任并不因之而免除或减</w:t>
      </w:r>
      <w:r>
        <w:rPr>
          <w:szCs w:val="24"/>
        </w:rPr>
        <w:t>少。</w:t>
      </w:r>
    </w:p>
    <w:p>
      <w:pPr>
        <w:pStyle w:val="2"/>
        <w:snapToGrid w:val="0"/>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保证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甲方的其他义务与责任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二、如果乙方根据主合同的约定或者国家的利率政策变化而调整利率水平、计息或结息方式，导致债务人应偿还的利息、罚息、复利增加的，对增加部分，甲方也应一并承担连带保证责任。</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三、在甲方未按约定履行全部担保责任,只承担了部份担保责任的情况下，甲方承诺：(一)甲方同意不向债务人或其他担保人主张代位权或追偿权；如因任何原因，甲方实现了上述权利，则应将所获款项优先用于履行担保责任；(二)若债务人或其他第三人为甲方提供了反担保，则甲方基于上述反担保而获得的款项，应优先用于履行担保责任。</w:t>
      </w:r>
    </w:p>
    <w:p>
      <w:pPr>
        <w:spacing w:line="435" w:lineRule="exact"/>
        <w:rPr>
          <w:rFonts w:ascii="仿宋_GB2312" w:eastAsia="仿宋_GB2312" w:cs="宋体"/>
          <w:sz w:val="24"/>
          <w:szCs w:val="24"/>
        </w:rPr>
      </w:pPr>
      <w:r>
        <w:rPr>
          <w:rFonts w:hint="eastAsia" w:ascii="仿宋_GB2312" w:eastAsia="仿宋_GB2312" w:cs="宋体"/>
          <w:sz w:val="24"/>
          <w:szCs w:val="24"/>
        </w:rPr>
        <w:t>四、甲方知道或者应当知道债务人进入破产或解散程序的（人民法院或企业发出公告的视为甲方应当知道），甲方应自己及时参加破产或解散程序，申报权利或预先行使追偿权，而无须乙方通知。甲方未能及时申报权利或预先行使追偿权，造成的损失由其自行承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在债务人破产程序中，如果乙方与债务人达成和解协议或者同意重整计划，乙方的权利不因和解协议或重整计划而受到损害，甲方的保证责任也不因此而减免。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五、甲方应当配合乙方对其进行贷后管理、相关检查及信用评级工作，并按乙方要求如实提供有关的财务报表、凭证、资料和单据等。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如需进行承包、租赁等经营方式变更，或进行股份制改造或发生合并、分立、对外投资、实质性增加债务融资、持有20％以上股权的股东全部或部分转让其股份的，以及停业、申请解散、破产等可能影响担保责任承担的情形时，应事先征得乙方书面同意，并落实令乙方满意的担保措施，否则不得实施上述行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七、甲方应当在发生下列重大事项时的三日内及时书面通知乙方：</w:t>
      </w:r>
    </w:p>
    <w:p>
      <w:pPr>
        <w:pStyle w:val="2"/>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（一）甲方的名称、住所、经营范围、法定代表人、联系方式等重大事项发生变更；（二）</w:t>
      </w:r>
      <w:r>
        <w:rPr>
          <w:rFonts w:hint="eastAsia" w:ascii="仿宋_GB2312" w:hAnsi="宋体" w:eastAsia="仿宋_GB2312" w:cs="宋体"/>
          <w:sz w:val="24"/>
          <w:szCs w:val="24"/>
        </w:rPr>
        <w:t>甲方停止经营、歇业、被宣告破产、解散、被吊销营业执照、被撤销或涉及重大经济纠纷；</w:t>
      </w:r>
      <w:r>
        <w:rPr>
          <w:rFonts w:hint="eastAsia" w:ascii="仿宋_GB2312" w:hAnsi="Times New Roman" w:eastAsia="仿宋_GB2312" w:cs="宋体"/>
          <w:sz w:val="24"/>
          <w:szCs w:val="24"/>
        </w:rPr>
        <w:t>（三）重大违法违规事件或被处罚、索赔事件；（四）涉及到的诉讼、仲裁事件；（五）向其他银行增加授信或向第三方提供担保；（六）担保人财务状况恶化或因其他原因导致担保能力明显下降；（七）其资产、银行账户被有权机关查封、扣押、冻结；（八）其他影响甲方担保能力的重大不利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黑体" w:eastAsia="仿宋_GB2312" w:cs="黑体"/>
          <w:b/>
          <w:bCs/>
          <w:sz w:val="24"/>
          <w:szCs w:val="24"/>
        </w:rPr>
        <w:t>第九条　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一、甲方是依法成立的法人或非法人机构，持有有效的营业执照或其它合法证照，担保主体资格合法有效；</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三、甲方保证按乙方的要求及时提供乙方所需资料，并保证所提供的资料均真实、准确、完整、有效，所提交的复印件均与原件相符；</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四、甲方签署本合同或履行其在本合同项下的义务并不违反任何法律法规及其订立的任何其他合同协议或其公司章程，也不会与其订立的其他合同协议或其公司章程存在任何法律上和商业利益上的冲突；</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六、甲方保证配合乙方对其作全面的尽职调查，同意乙方进入其企业端“企业防伪税控系统”查询相关信息；</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七、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八、甲方如为集团客户，应向乙方及时报告甲方净资产10％以上关联交易的情况，包括： （一）交易各方的关联关系；（二）交易项目和交易性质；（三）交易的金额或相应的比例；（四）定价政策(包括没有金额或只有象征性金额的交易)；</w:t>
      </w:r>
    </w:p>
    <w:p>
      <w:pPr>
        <w:pStyle w:val="2"/>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九、</w:t>
      </w:r>
      <w:r>
        <w:rPr>
          <w:rFonts w:hint="eastAsia" w:ascii="仿宋_GB2312" w:eastAsia="仿宋_GB2312" w:cs="宋体"/>
          <w:sz w:val="24"/>
          <w:szCs w:val="24"/>
        </w:rPr>
        <w:t>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十、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乙方的权利</w:t>
      </w:r>
    </w:p>
    <w:p>
      <w:pPr>
        <w:pStyle w:val="2"/>
        <w:spacing w:line="435" w:lineRule="exact"/>
        <w:ind w:firstLine="482" w:firstLineChars="200"/>
        <w:rPr>
          <w:rFonts w:ascii="仿宋_GB2312" w:hAnsi="Times New Roman" w:eastAsia="仿宋_GB2312" w:cs="宋体"/>
          <w:sz w:val="24"/>
          <w:szCs w:val="24"/>
        </w:rPr>
      </w:pPr>
      <w:r>
        <w:rPr>
          <w:rFonts w:hint="eastAsia" w:ascii="黑体" w:hAnsi="黑体" w:eastAsia="黑体" w:cs="黑体"/>
          <w:b/>
          <w:bCs/>
          <w:sz w:val="24"/>
          <w:szCs w:val="24"/>
        </w:rPr>
        <w:t>一、按照法律规定和本合同的约定甲方应当承担连带保证责任的，乙方有权直接扣划甲方在乙方或绵阳市商业银行所有营业机构开立账户中的款项用于清偿主债务。乙方在扣划款项时，账户中的币种与主债务币种不同的，按扣划当天乙方公布的外汇牌价折算。乙方扣划款项的，无须通知甲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二、乙方有权要求甲方提供反映其经营情况、财务情况及信用情况的财务报告、经营合同、银行流水及其他凭证、资料和单据。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三、如果除主合同项下的债务外，债务人对乙方还负有其它到期债务，债务人偿还的款项不足以清偿所有债务的，乙方有权决定清偿任何一笔到期债务，对此甲方不得提出任何异议或抗辩。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六、甲方发生解散或破产的，即使主合同项下债权尚未到期，乙方也有权参加甲方清算或破产程序，申报权利。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八、甲方未履行或未完全履行保证责任或有其它违约行为的，乙方有权在电视、广播、报纸、网络等公共媒体上公开甲方的违约信息或进行催告。</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第十一条　违约责任</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一、发生下列情形之一的，即构成甲方违约：</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（二）甲方经营状况恶化或停止经营、歇业、被宣告破产、解散、被吊销营业执照、被撤销的；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（三）甲方发生重大财务亏损、资产损失包括因对外担保而发生资产损失，或其他财务危机，乙方认定可能影响其担保能力承担的；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不履行与其他金融机构签订的相关合同协议或在其他金融机构的授信出现逾期、欠息、担保逾期等征信不良记录或被其他金融机构提起诉讼、仲裁、申请执行以及涉及对甲方经营或财产状况产生不利后果的任何其它诉讼、仲裁、申请执行或刑事、行政处罚，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（五）甲方不履行与乙方签订的其他合同、协议（包括主合同和担保合同）约定的义务的；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（六）甲方的法定代表人、主要负责人、实际控制人或其它高级管理人员出现受到刑事追诉、被采取强制措施、被有关机关调查、失踪、失联、死亡等情况，乙方认定可能影响其担保能力承担的；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（七）甲方对其他债权人发生违约情形或其资产、银行账户被有关机关采取查封、冻结、扣押等执行或保全措施的；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（八）甲方的控股股东及其他关联公司经营或财务方面出现重大危机或甲方与控股股东及其他关联公司之间发生重大关联交易严重影响甲方的正常经营；乙方认定可能影响其担保能力承担的；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（九）出现其它可能导致甲方担保能力丧失或显著下降的事件。</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二、甲方违约的，乙方有权宣布主债务提前到期，并要求甲方立即承担连带保证责任。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第十二条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本保证合同所设立的担保具有独立性，无论何种情况，本保证合同不因主合同的无效而无效。如主合同被确认无效、被撤销，则甲方对主债务人因返还财产或赔偿损失而形成的债务也承担连带保证责任。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第十三条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第十五条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三、本合同一式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hint="eastAsia" w:ascii="仿宋_GB2312" w:hAnsi="Times New Roman" w:eastAsia="仿宋_GB2312" w:cs="宋体"/>
          <w:sz w:val="24"/>
          <w:szCs w:val="24"/>
          <w:u w:val="single"/>
        </w:rPr>
        <w:t xml:space="preserve">    </w:t>
      </w:r>
      <w:r>
        <w:rPr>
          <w:rFonts w:hint="eastAsia" w:ascii="仿宋_GB2312" w:hAnsi="Times New Roman" w:eastAsia="仿宋_GB2312" w:cs="宋体"/>
          <w:sz w:val="24"/>
          <w:szCs w:val="24"/>
        </w:rPr>
        <w:t>份，乙方持</w:t>
      </w:r>
      <w:r>
        <w:rPr>
          <w:rFonts w:hint="eastAsia" w:ascii="仿宋_GB2312" w:hAnsi="Times New Roman" w:eastAsia="仿宋_GB2312" w:cs="宋体"/>
          <w:sz w:val="24"/>
          <w:szCs w:val="24"/>
          <w:u w:val="single"/>
        </w:rPr>
        <w:t xml:space="preserve">    </w:t>
      </w:r>
      <w:r>
        <w:rPr>
          <w:rFonts w:hint="eastAsia" w:ascii="仿宋_GB2312" w:hAnsi="Times New Roman" w:eastAsia="仿宋_GB2312" w:cs="宋体"/>
          <w:sz w:val="24"/>
          <w:szCs w:val="24"/>
        </w:rPr>
        <w:t>份，持份，持份，每份均具同等法律效力。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第十四条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sz w:val="24"/>
          <w:szCs w:val="24"/>
          <w:u w:val="single"/>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2"/>
        <w:spacing w:line="465" w:lineRule="exact"/>
        <w:rPr>
          <w:rFonts w:ascii="仿宋_GB2312" w:hAnsi="Times New Roman" w:eastAsia="仿宋_GB2312" w:cs="宋体"/>
          <w:sz w:val="24"/>
          <w:szCs w:val="24"/>
        </w:rPr>
      </w:pPr>
    </w:p>
    <w:p>
      <w:pPr>
        <w:pStyle w:val="2"/>
        <w:spacing w:line="465" w:lineRule="exact"/>
        <w:jc w:val="right"/>
        <w:rPr>
          <w:rFonts w:ascii="仿宋_GB2312" w:hAnsi="Times New Roman" w:eastAsia="仿宋_GB2312" w:cs="宋体"/>
          <w:sz w:val="24"/>
          <w:szCs w:val="24"/>
        </w:rPr>
      </w:pP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56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9609713"/>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81BC3"/>
    <w:rsid w:val="002D6D66"/>
    <w:rsid w:val="003069B8"/>
    <w:rsid w:val="00490799"/>
    <w:rsid w:val="004D4713"/>
    <w:rsid w:val="00541B15"/>
    <w:rsid w:val="00581ECB"/>
    <w:rsid w:val="00693744"/>
    <w:rsid w:val="00716735"/>
    <w:rsid w:val="00810F54"/>
    <w:rsid w:val="00815DAA"/>
    <w:rsid w:val="00944C7B"/>
    <w:rsid w:val="009D28B5"/>
    <w:rsid w:val="00A07265"/>
    <w:rsid w:val="00A218C8"/>
    <w:rsid w:val="00A353E1"/>
    <w:rsid w:val="00AD5D72"/>
    <w:rsid w:val="00B22E7F"/>
    <w:rsid w:val="00B839A9"/>
    <w:rsid w:val="00B840F7"/>
    <w:rsid w:val="00BA2307"/>
    <w:rsid w:val="00BC6E7C"/>
    <w:rsid w:val="00BD4A8B"/>
    <w:rsid w:val="00C43EF9"/>
    <w:rsid w:val="00C4658A"/>
    <w:rsid w:val="00C5539A"/>
    <w:rsid w:val="00C96AE6"/>
    <w:rsid w:val="00CD1C55"/>
    <w:rsid w:val="00D16CA1"/>
    <w:rsid w:val="00D82F4A"/>
    <w:rsid w:val="00F12639"/>
    <w:rsid w:val="00F77184"/>
    <w:rsid w:val="00FB2283"/>
    <w:rsid w:val="00FF5AEF"/>
    <w:rsid w:val="1F504483"/>
    <w:rsid w:val="4048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Courier New"/>
      <w:szCs w:val="21"/>
    </w:rPr>
  </w:style>
  <w:style w:type="paragraph" w:styleId="3">
    <w:name w:val="Balloon Text"/>
    <w:basedOn w:val="1"/>
    <w:link w:val="12"/>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character" w:customStyle="1" w:styleId="9">
    <w:name w:val="页眉 Char"/>
    <w:basedOn w:val="6"/>
    <w:link w:val="5"/>
    <w:uiPriority w:val="99"/>
    <w:rPr>
      <w:sz w:val="18"/>
      <w:szCs w:val="18"/>
    </w:rPr>
  </w:style>
  <w:style w:type="character" w:customStyle="1" w:styleId="10">
    <w:name w:val="页脚 Char"/>
    <w:basedOn w:val="6"/>
    <w:link w:val="4"/>
    <w:uiPriority w:val="99"/>
    <w:rPr>
      <w:sz w:val="18"/>
      <w:szCs w:val="18"/>
    </w:rPr>
  </w:style>
  <w:style w:type="character" w:customStyle="1" w:styleId="11">
    <w:name w:val="纯文本 Char"/>
    <w:basedOn w:val="6"/>
    <w:link w:val="2"/>
    <w:qFormat/>
    <w:uiPriority w:val="0"/>
    <w:rPr>
      <w:rFonts w:ascii="宋体" w:hAnsi="Courier New" w:eastAsia="宋体" w:cs="Courier New"/>
      <w:szCs w:val="21"/>
    </w:rPr>
  </w:style>
  <w:style w:type="character" w:customStyle="1" w:styleId="12">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1172</Words>
  <Characters>6681</Characters>
  <Lines>55</Lines>
  <Paragraphs>15</Paragraphs>
  <ScaleCrop>false</ScaleCrop>
  <LinksUpToDate>false</LinksUpToDate>
  <CharactersWithSpaces>7838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