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5916" w:rsidRPr="00DD1D70" w:rsidRDefault="006D249F">
      <w:pPr>
        <w:pStyle w:val="Heading1"/>
        <w:jc w:val="center"/>
        <w:rPr>
          <w:b w:val="0"/>
          <w:color w:val="auto"/>
        </w:rPr>
      </w:pPr>
      <w:r w:rsidRPr="00DD1D70">
        <w:rPr>
          <w:b w:val="0"/>
          <w:color w:val="auto"/>
        </w:rPr>
        <w:t>Hospital &amp; Pharmacy Performance Analysis</w:t>
      </w:r>
    </w:p>
    <w:p w:rsidR="00495916" w:rsidRPr="00DD1D70" w:rsidRDefault="006D249F">
      <w:pPr>
        <w:pStyle w:val="Heading2"/>
        <w:rPr>
          <w:color w:val="auto"/>
        </w:rPr>
      </w:pPr>
      <w:r w:rsidRPr="00DD1D70">
        <w:rPr>
          <w:color w:val="auto"/>
        </w:rPr>
        <w:t>Overview</w:t>
      </w:r>
    </w:p>
    <w:p w:rsidR="00495916" w:rsidRDefault="006D249F">
      <w:pPr>
        <w:spacing w:after="200"/>
      </w:pPr>
      <w:r>
        <w:t>This analysis examines 300 patient visits across 6 counties throughout 2024, generating KES 275,407 in pharmacy revenue from 350 transactions. The findings reveal critical insights about disease patterns, pharmacy performance, and resource utilization that</w:t>
      </w:r>
      <w:r>
        <w:t xml:space="preserve"> can inform strategic decision-making.</w:t>
      </w:r>
    </w:p>
    <w:p w:rsidR="00495916" w:rsidRPr="00DD1D70" w:rsidRDefault="006D249F">
      <w:pPr>
        <w:pStyle w:val="Heading2"/>
        <w:rPr>
          <w:color w:val="auto"/>
        </w:rPr>
      </w:pPr>
      <w:r w:rsidRPr="00DD1D70">
        <w:rPr>
          <w:color w:val="auto"/>
        </w:rPr>
        <w:t>1. Disease Burden and Regional Variations</w:t>
      </w:r>
    </w:p>
    <w:p w:rsidR="00495916" w:rsidRDefault="006D249F">
      <w:pPr>
        <w:spacing w:after="200"/>
      </w:pPr>
      <w:r>
        <w:t>Flu (56 cases) and Typhoid (54 cases) are the most common diagnoses across the hospital network, followed by Diabetes (53) and Hypertension (50). However, significant regional</w:t>
      </w:r>
      <w:r>
        <w:t xml:space="preserve"> variations exist. Kisumu shows a disproportionately high incidence of Hypertension (16 cases, 30% of county visits), suggesting either a population health crisis or effe</w:t>
      </w:r>
      <w:r w:rsidR="00DD1D70">
        <w:t>ctive screening programs. Uasin</w:t>
      </w:r>
      <w:r>
        <w:t>Gishu faces a notable Flu burden (15 cases, 26% of vis</w:t>
      </w:r>
      <w:r>
        <w:t>its), which may indicate seasonal or environmental factors. These patterns should inform county-specific prevention campaigns and resource allocation strategies.</w:t>
      </w:r>
    </w:p>
    <w:p w:rsidR="00495916" w:rsidRPr="00DD1D70" w:rsidRDefault="006D249F">
      <w:pPr>
        <w:pStyle w:val="Heading2"/>
        <w:rPr>
          <w:color w:val="auto"/>
        </w:rPr>
      </w:pPr>
      <w:r w:rsidRPr="00DD1D70">
        <w:rPr>
          <w:color w:val="auto"/>
        </w:rPr>
        <w:t>2. The Volume-Revenue Paradox</w:t>
      </w:r>
    </w:p>
    <w:p w:rsidR="00495916" w:rsidRDefault="006D249F">
      <w:pPr>
        <w:spacing w:after="200"/>
      </w:pPr>
      <w:r>
        <w:t>A critical finding challenges conventional assumptions: higher p</w:t>
      </w:r>
      <w:r>
        <w:t>atient volumes do not automatically translate to</w:t>
      </w:r>
      <w:r w:rsidR="00A15E46">
        <w:t xml:space="preserve"> higher pharmacy revenue. Uasin</w:t>
      </w:r>
      <w:r>
        <w:t>Gishu, with 58 visits</w:t>
      </w:r>
      <w:r w:rsidR="00DD1D70">
        <w:t xml:space="preserve">, generates KES 1,197 per visit </w:t>
      </w:r>
      <w:r>
        <w:t>51% more than Kiambu's KES 789 per visit, despite Kiambu having the most visits (59). This disparity reflects differences i</w:t>
      </w:r>
      <w:r>
        <w:t>n diagnosis complexity and treatment protocols. Nakuru shows the lowest revenue per visit (KES 750), suggesting opportunities to optimize treatment protocols or identify underutilization of pharmacy services.</w:t>
      </w:r>
    </w:p>
    <w:p w:rsidR="00495916" w:rsidRPr="00DD1D70" w:rsidRDefault="006D249F">
      <w:pPr>
        <w:pStyle w:val="Heading2"/>
        <w:rPr>
          <w:color w:val="auto"/>
        </w:rPr>
      </w:pPr>
      <w:r w:rsidRPr="00DD1D70">
        <w:rPr>
          <w:color w:val="auto"/>
        </w:rPr>
        <w:t>3. Departmental Efficiency and Cost Patterns</w:t>
      </w:r>
    </w:p>
    <w:p w:rsidR="00495916" w:rsidRDefault="006D249F">
      <w:pPr>
        <w:spacing w:after="200"/>
      </w:pPr>
      <w:r>
        <w:t>Th</w:t>
      </w:r>
      <w:r>
        <w:t>e three departments show remarkably balanced pharmacy utilization: Inpatient (KES 94,759), Emergency (KES 93,907), and Outpatient (KES 86,741). While Inpatient generates slightly higher revenue with fewer transactions (114 vs. 120 in Emergency), the averag</w:t>
      </w:r>
      <w:r>
        <w:t>e cost per transaction (KES 831) reveals that inpatient prescriptions are more expensive, likely reflecting more severe conditions and longer treatment protocols. This balance suggests effective triage and appropriate treatment assignment across department</w:t>
      </w:r>
      <w:r>
        <w:t>s.</w:t>
      </w:r>
    </w:p>
    <w:p w:rsidR="00495916" w:rsidRPr="00DD1D70" w:rsidRDefault="006D249F">
      <w:pPr>
        <w:pStyle w:val="Heading2"/>
        <w:rPr>
          <w:color w:val="auto"/>
        </w:rPr>
      </w:pPr>
      <w:r w:rsidRPr="00DD1D70">
        <w:rPr>
          <w:color w:val="auto"/>
        </w:rPr>
        <w:t>4. Age-Based Medication Consumption</w:t>
      </w:r>
    </w:p>
    <w:p w:rsidR="00495916" w:rsidRDefault="006D249F">
      <w:pPr>
        <w:spacing w:after="200"/>
      </w:pPr>
      <w:r>
        <w:t>Seniors (65+) account for 37% of total pharmacy revenue (KES 101,834) despite representing a smaller patient population. This group averages 119 transactions with higher per-transaction costs, reflecting chronic disea</w:t>
      </w:r>
      <w:r>
        <w:t>se management and polypharmacy. Young Adults (18-34) generate KES 64,773, primarily from acute conditions. Interestingly, the 35-49 age group shows the lowest consumption (KES 27,954), possibly indicating a healthier demographic or underutilization of prev</w:t>
      </w:r>
      <w:r>
        <w:t>entive care services.</w:t>
      </w:r>
    </w:p>
    <w:p w:rsidR="00495916" w:rsidRPr="00DD1D70" w:rsidRDefault="006D249F">
      <w:pPr>
        <w:pStyle w:val="Heading2"/>
        <w:rPr>
          <w:color w:val="auto"/>
        </w:rPr>
      </w:pPr>
      <w:r w:rsidRPr="00DD1D70">
        <w:rPr>
          <w:color w:val="auto"/>
        </w:rPr>
        <w:lastRenderedPageBreak/>
        <w:t>5. Clinical Stay Patterns vs. Pharmacy Costs</w:t>
      </w:r>
    </w:p>
    <w:p w:rsidR="00495916" w:rsidRDefault="006D249F">
      <w:pPr>
        <w:spacing w:after="200"/>
      </w:pPr>
      <w:r>
        <w:t>The analysis reveals an important clinical insight: longer hospital stays do not necessarily correlate with higher pharmacy spending. Hypertension patients stay an average of 1.72 days with</w:t>
      </w:r>
      <w:r>
        <w:t xml:space="preserve"> moderate pharmacy costs (KES 925), while Malaria patients have shorter stays (1.05 days) but higher medication costs (KES 1,105). Diabetes shows both low stay duration (0.79 days) and low pharmacy costs (KES 704), suggesting effective outpatient managemen</w:t>
      </w:r>
      <w:r>
        <w:t>t. This pattern indicates that acute conditions like Malaria require intensive but short-term pharmaceutical intervention, while chronic conditions require monitoring but stable medication regimens.</w:t>
      </w:r>
    </w:p>
    <w:p w:rsidR="00495916" w:rsidRPr="00DD1D70" w:rsidRDefault="006D249F">
      <w:pPr>
        <w:pStyle w:val="Heading2"/>
        <w:rPr>
          <w:color w:val="auto"/>
        </w:rPr>
      </w:pPr>
      <w:r w:rsidRPr="00DD1D70">
        <w:rPr>
          <w:color w:val="auto"/>
        </w:rPr>
        <w:t>Strategic Recommendations</w:t>
      </w:r>
    </w:p>
    <w:p w:rsidR="00495916" w:rsidRDefault="006D249F">
      <w:pPr>
        <w:spacing w:after="100"/>
      </w:pPr>
      <w:r>
        <w:t>1. Implement county-specific he</w:t>
      </w:r>
      <w:r>
        <w:t>alth interventions targeting prevalent diseases (Hyper</w:t>
      </w:r>
      <w:r w:rsidR="00A15E46">
        <w:t>tension in Kisumu, Flu in Uasin</w:t>
      </w:r>
      <w:r>
        <w:t>Gishu)</w:t>
      </w:r>
    </w:p>
    <w:p w:rsidR="00495916" w:rsidRDefault="006D249F">
      <w:pPr>
        <w:spacing w:after="100"/>
      </w:pPr>
      <w:r>
        <w:t>2. Investigate revenue variance across counties to identify best practices and standardize treatment protocols</w:t>
      </w:r>
    </w:p>
    <w:p w:rsidR="00495916" w:rsidRDefault="006D249F">
      <w:pPr>
        <w:spacing w:after="100"/>
      </w:pPr>
      <w:r>
        <w:t>3. Develop senior-focused pharmacy programs with med</w:t>
      </w:r>
      <w:r>
        <w:t>ication adherence support and cost management</w:t>
      </w:r>
    </w:p>
    <w:p w:rsidR="00495916" w:rsidRDefault="006D249F">
      <w:pPr>
        <w:spacing w:after="100"/>
      </w:pPr>
      <w:r>
        <w:t>4. Optimize pharmacy procurement based on drug category demand (Malaria and Cold &amp; Flu medications dominate)</w:t>
      </w:r>
    </w:p>
    <w:p w:rsidR="00495916" w:rsidRDefault="006D249F" w:rsidP="00A15E46">
      <w:pPr>
        <w:spacing w:after="200"/>
      </w:pPr>
      <w:r>
        <w:t>5. Enhance diabetes management programs to prevent progressi</w:t>
      </w:r>
      <w:r w:rsidR="00A15E46">
        <w:t>on requiring intensive treatment</w:t>
      </w:r>
      <w:bookmarkStart w:id="0" w:name="_GoBack"/>
      <w:bookmarkEnd w:id="0"/>
    </w:p>
    <w:sectPr w:rsidR="004959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E4A5D3F"/>
    <w:multiLevelType w:val="hybridMultilevel"/>
    <w:tmpl w:val="E4FACF88"/>
    <w:lvl w:ilvl="0" w:tplc="4C269F4E">
      <w:start w:val="1"/>
      <w:numFmt w:val="bullet"/>
      <w:lvlText w:val="●"/>
      <w:lvlJc w:val="left"/>
      <w:pPr>
        <w:ind w:left="720" w:hanging="360"/>
      </w:pPr>
    </w:lvl>
    <w:lvl w:ilvl="1" w:tplc="0F7C5B0A">
      <w:start w:val="1"/>
      <w:numFmt w:val="bullet"/>
      <w:lvlText w:val="○"/>
      <w:lvlJc w:val="left"/>
      <w:pPr>
        <w:ind w:left="1440" w:hanging="360"/>
      </w:pPr>
    </w:lvl>
    <w:lvl w:ilvl="2" w:tplc="258E1B1E">
      <w:start w:val="1"/>
      <w:numFmt w:val="bullet"/>
      <w:lvlText w:val="■"/>
      <w:lvlJc w:val="left"/>
      <w:pPr>
        <w:ind w:left="2160" w:hanging="360"/>
      </w:pPr>
    </w:lvl>
    <w:lvl w:ilvl="3" w:tplc="9F1C6FC0">
      <w:start w:val="1"/>
      <w:numFmt w:val="bullet"/>
      <w:lvlText w:val="●"/>
      <w:lvlJc w:val="left"/>
      <w:pPr>
        <w:ind w:left="2880" w:hanging="360"/>
      </w:pPr>
    </w:lvl>
    <w:lvl w:ilvl="4" w:tplc="7E5024FC">
      <w:start w:val="1"/>
      <w:numFmt w:val="bullet"/>
      <w:lvlText w:val="○"/>
      <w:lvlJc w:val="left"/>
      <w:pPr>
        <w:ind w:left="3600" w:hanging="360"/>
      </w:pPr>
    </w:lvl>
    <w:lvl w:ilvl="5" w:tplc="43C658AE">
      <w:start w:val="1"/>
      <w:numFmt w:val="bullet"/>
      <w:lvlText w:val="■"/>
      <w:lvlJc w:val="left"/>
      <w:pPr>
        <w:ind w:left="4320" w:hanging="360"/>
      </w:pPr>
    </w:lvl>
    <w:lvl w:ilvl="6" w:tplc="643E09F2">
      <w:start w:val="1"/>
      <w:numFmt w:val="bullet"/>
      <w:lvlText w:val="●"/>
      <w:lvlJc w:val="left"/>
      <w:pPr>
        <w:ind w:left="5040" w:hanging="360"/>
      </w:pPr>
    </w:lvl>
    <w:lvl w:ilvl="7" w:tplc="E4787704">
      <w:start w:val="1"/>
      <w:numFmt w:val="bullet"/>
      <w:lvlText w:val="●"/>
      <w:lvlJc w:val="left"/>
      <w:pPr>
        <w:ind w:left="5760" w:hanging="360"/>
      </w:pPr>
    </w:lvl>
    <w:lvl w:ilvl="8" w:tplc="7558359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916"/>
    <w:rsid w:val="00495916"/>
    <w:rsid w:val="006D249F"/>
    <w:rsid w:val="00A15E46"/>
    <w:rsid w:val="00DD1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4AC95"/>
  <w15:docId w15:val="{1762C42E-E89B-4A6B-B798-84D1ED737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color w:val="1565C0"/>
      <w:sz w:val="32"/>
      <w:szCs w:val="32"/>
    </w:rPr>
  </w:style>
  <w:style w:type="paragraph" w:styleId="Heading2">
    <w:name w:val="heading 2"/>
    <w:qFormat/>
    <w:pPr>
      <w:spacing w:before="180" w:after="100"/>
      <w:outlineLvl w:val="1"/>
    </w:pPr>
    <w:rPr>
      <w:b/>
      <w:bCs/>
      <w:color w:val="1976D2"/>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578</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Guyo Mohamed</cp:lastModifiedBy>
  <cp:revision>2</cp:revision>
  <dcterms:created xsi:type="dcterms:W3CDTF">2026-02-15T10:02:00Z</dcterms:created>
  <dcterms:modified xsi:type="dcterms:W3CDTF">2026-02-15T10:02:00Z</dcterms:modified>
</cp:coreProperties>
</file>