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面板的会话生命周期与页面绑定：离开界面（关闭或切换标签、切换工作区）时，终端实例、它与服务端的连接以及服务端对应的终端进程都会一并释放；再次进入界面会重新建立，不恢复上一次的终端内容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对话面板对超长流式输出设有上限。单条消息文本累计超过上限后只保留末尾部分，以免超长回复或模型重复输出拖慢页面；被舍弃的是开头，最新输出始终可见。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浏览器界面与服务端通信异常时（例如事件流连接反复失败），浏览器控制台会留下带组件名前缀的错误记录，便于排查界面「不再更新」的原因。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子进程环境变量隔离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执行命令类工具会启动子进程。为避免主进程中的敏感凭据随环境透传给子进程，系统在启动子进程前对继承的环境变量做一次过滤：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其一，命中敏感名单的变量一律不下发，包括常见的云平台密钥、代码托管令牌、包管理器令牌、数据库连接串与各类会话密钥。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其二，凡变量名包含密钥、令牌、口令等语义词的，一并剔除。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其三，过滤只作用于子进程继承的环境，不改动主进程自身的环境；确有需要时，可在配置中显式声明要透传的变量。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其四，跨工作区启动的协作进程只透传显式白名单内的观测类变量，其余环境变量不下发。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