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Size-based side-channel analyses of LLM calls are unsound or reject identical arms</w:t>
      </w:r>
    </w:p>
    <w:p>
      <w:pPr>
        <w:pStyle w:val="ListParagraph"/>
        <w:numPr>
          <w:ilvl w:val="0"/>
          <w:numId w:val="1"/>
        </w:numPr>
      </w:pPr>
      <w:r>
        <w:t xml:space="preserve">Comparing requests by content gives noninterference for any provider or tokenizer</w:t>
      </w:r>
    </w:p>
    <w:p>
      <w:pPr>
        <w:pStyle w:val="ListParagraph"/>
        <w:numPr>
          <w:ilvl w:val="0"/>
          <w:numId w:val="1"/>
        </w:numPr>
      </w:pPr>
      <w:r>
        <w:t xml:space="preserve">Leakage is bounded by the log of the number of request classes (min-capacity)</w:t>
      </w:r>
    </w:p>
    <w:p>
      <w:pPr>
        <w:pStyle w:val="ListParagraph"/>
        <w:numPr>
          <w:ilvl w:val="0"/>
          <w:numId w:val="1"/>
        </w:numPr>
      </w:pPr>
      <w:r>
        <w:t xml:space="preserve">Token bounds are sound when computed in bytes: tokenization is not subadditive</w:t>
      </w:r>
    </w:p>
    <w:p>
      <w:pPr>
        <w:pStyle w:val="ListParagraph"/>
        <w:numPr>
          <w:ilvl w:val="0"/>
          <w:numId w:val="1"/>
        </w:numPr>
      </w:pPr>
      <w:r>
        <w:t xml:space="preserve">Thirty real workflows ported under a fixed protocol; no certified bound exceeded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2026-09-25T07:18:02.848Z</dcterms:created>
  <dcterms:modified xsi:type="dcterms:W3CDTF">2026-09-25T07:18:02.850Z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