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A8C4DC"/>
          <w:sz w:val="16"/>
          <w:szCs w:val="16"/>
        </w:rPr>
        <w:t xml:space="preserve">RESEARCH PROPOSAL</w:t>
      </w:r>
    </w:p>
    <w:p>
      <w:pPr>
        <w:spacing w:after="40" w:before="0"/>
      </w:pPr>
      <w:r>
        <w:rPr>
          <w:rFonts w:ascii="Arial" w:cs="Arial" w:eastAsia="Arial" w:hAnsi="Arial"/>
          <w:b/>
          <w:bCs/>
          <w:color w:val="1F3864"/>
          <w:sz w:val="40"/>
          <w:szCs w:val="40"/>
        </w:rPr>
        <w:t xml:space="preserve">Latent Class Analysis of Child Material Deprivation</w:t>
      </w:r>
    </w:p>
    <w:p>
      <w:pPr>
        <w:spacing w:after="100" w:before="0"/>
      </w:pPr>
      <w:r>
        <w:rPr>
          <w:rFonts w:ascii="Arial" w:cs="Arial" w:eastAsia="Arial" w:hAnsi="Arial"/>
          <w:b w:val="false"/>
          <w:bCs w:val="false"/>
          <w:color w:val="2E5F8A"/>
          <w:sz w:val="32"/>
          <w:szCs w:val="32"/>
        </w:rPr>
        <w:t xml:space="preserve">and the Effect of the Scottish Child Payment</w:t>
      </w:r>
    </w:p>
    <w:p>
      <w:pPr>
        <w:pBdr>
          <w:bottom w:val="single" w:color="1F3864" w:sz="12"/>
        </w:pBdr>
        <w:spacing w:after="40" w:before="0"/>
      </w:pPr>
      <w:r>
        <w:t xml:space="preserve"/>
      </w:r>
    </w:p>
    <w:p>
      <w:pPr>
        <w:spacing w:after="4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Arial" w:cs="Arial" w:eastAsia="Arial" w:hAnsi="Arial"/>
                <w:b/>
                <w:bCs/>
                <w:color w:val="2E5F8A"/>
                <w:sz w:val="18"/>
                <w:szCs w:val="18"/>
              </w:rPr>
              <w:t xml:space="preserve">Student</w:t>
            </w:r>
          </w:p>
        </w:tc>
        <w:tc>
          <w:tcPr>
            <w:tcW w:type="dxa" w:w="736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Arial" w:cs="Arial" w:eastAsia="Arial" w:hAnsi="Arial"/>
                <w:color w:val="1A1A2E"/>
                <w:sz w:val="18"/>
                <w:szCs w:val="18"/>
              </w:rPr>
              <w:t xml:space="preserve">Guy Pigott</w:t>
            </w:r>
          </w:p>
        </w:tc>
      </w:tr>
      <w:tr>
        <w:tc>
          <w:tcPr>
            <w:tcW w:type="dxa" w:w="2000"/>
            <w:tcBorders>
              <w:top w:val="none" w:color="FFFFFF" w:sz="0"/>
              <w:left w:val="none" w:color="FFFFFF" w:sz="0"/>
              <w:bottom w:val="none" w:color="FFFFFF" w:sz="0"/>
              <w:right w:val="none" w:color="FFFFFF" w:sz="0"/>
            </w:tcBorders>
            <w:shd w:fill="EDF3F9" w:val="clear"/>
            <w:tcMar>
              <w:top w:type="dxa" w:w="60"/>
              <w:left w:type="dxa" w:w="100"/>
              <w:bottom w:type="dxa" w:w="60"/>
              <w:right w:type="dxa" w:w="100"/>
            </w:tcMar>
          </w:tcPr>
          <w:p>
            <w:r>
              <w:rPr>
                <w:rFonts w:ascii="Arial" w:cs="Arial" w:eastAsia="Arial" w:hAnsi="Arial"/>
                <w:b/>
                <w:bCs/>
                <w:color w:val="2E5F8A"/>
                <w:sz w:val="18"/>
                <w:szCs w:val="18"/>
              </w:rPr>
              <w:t xml:space="preserve">Programme</w:t>
            </w:r>
          </w:p>
        </w:tc>
        <w:tc>
          <w:tcPr>
            <w:tcW w:type="dxa" w:w="7360"/>
            <w:tcBorders>
              <w:top w:val="none" w:color="FFFFFF" w:sz="0"/>
              <w:left w:val="none" w:color="FFFFFF" w:sz="0"/>
              <w:bottom w:val="none" w:color="FFFFFF" w:sz="0"/>
              <w:right w:val="none" w:color="FFFFFF" w:sz="0"/>
            </w:tcBorders>
            <w:shd w:fill="EDF3F9" w:val="clear"/>
            <w:tcMar>
              <w:top w:type="dxa" w:w="60"/>
              <w:left w:type="dxa" w:w="100"/>
              <w:bottom w:type="dxa" w:w="60"/>
              <w:right w:type="dxa" w:w="100"/>
            </w:tcMar>
          </w:tcPr>
          <w:p>
            <w:r>
              <w:rPr>
                <w:rFonts w:ascii="Arial" w:cs="Arial" w:eastAsia="Arial" w:hAnsi="Arial"/>
                <w:color w:val="1A1A2E"/>
                <w:sz w:val="18"/>
                <w:szCs w:val="18"/>
              </w:rPr>
              <w:t xml:space="preserve">MSc Economics / Social Policy</w:t>
            </w:r>
          </w:p>
        </w:tc>
      </w:tr>
      <w:tr>
        <w:tc>
          <w:tcPr>
            <w:tcW w:type="dxa" w:w="20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Arial" w:cs="Arial" w:eastAsia="Arial" w:hAnsi="Arial"/>
                <w:b/>
                <w:bCs/>
                <w:color w:val="2E5F8A"/>
                <w:sz w:val="18"/>
                <w:szCs w:val="18"/>
              </w:rPr>
              <w:t xml:space="preserve">Data</w:t>
            </w:r>
          </w:p>
        </w:tc>
        <w:tc>
          <w:tcPr>
            <w:tcW w:type="dxa" w:w="736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Arial" w:cs="Arial" w:eastAsia="Arial" w:hAnsi="Arial"/>
                <w:color w:val="1A1A2E"/>
                <w:sz w:val="18"/>
                <w:szCs w:val="18"/>
              </w:rPr>
              <w:t xml:space="preserve">HBAI individual-level microdata, UKDA-5828, 2016/17–2023/24</w:t>
            </w:r>
          </w:p>
        </w:tc>
      </w:tr>
      <w:tr>
        <w:tc>
          <w:tcPr>
            <w:tcW w:type="dxa" w:w="2000"/>
            <w:tcBorders>
              <w:top w:val="none" w:color="FFFFFF" w:sz="0"/>
              <w:left w:val="none" w:color="FFFFFF" w:sz="0"/>
              <w:bottom w:val="none" w:color="FFFFFF" w:sz="0"/>
              <w:right w:val="none" w:color="FFFFFF" w:sz="0"/>
            </w:tcBorders>
            <w:shd w:fill="EDF3F9" w:val="clear"/>
            <w:tcMar>
              <w:top w:type="dxa" w:w="60"/>
              <w:left w:type="dxa" w:w="100"/>
              <w:bottom w:type="dxa" w:w="60"/>
              <w:right w:type="dxa" w:w="100"/>
            </w:tcMar>
          </w:tcPr>
          <w:p>
            <w:r>
              <w:rPr>
                <w:rFonts w:ascii="Arial" w:cs="Arial" w:eastAsia="Arial" w:hAnsi="Arial"/>
                <w:b/>
                <w:bCs/>
                <w:color w:val="2E5F8A"/>
                <w:sz w:val="18"/>
                <w:szCs w:val="18"/>
              </w:rPr>
              <w:t xml:space="preserve">Methods</w:t>
            </w:r>
          </w:p>
        </w:tc>
        <w:tc>
          <w:tcPr>
            <w:tcW w:type="dxa" w:w="7360"/>
            <w:tcBorders>
              <w:top w:val="none" w:color="FFFFFF" w:sz="0"/>
              <w:left w:val="none" w:color="FFFFFF" w:sz="0"/>
              <w:bottom w:val="none" w:color="FFFFFF" w:sz="0"/>
              <w:right w:val="none" w:color="FFFFFF" w:sz="0"/>
            </w:tcBorders>
            <w:shd w:fill="EDF3F9" w:val="clear"/>
            <w:tcMar>
              <w:top w:type="dxa" w:w="60"/>
              <w:left w:type="dxa" w:w="100"/>
              <w:bottom w:type="dxa" w:w="60"/>
              <w:right w:type="dxa" w:w="100"/>
            </w:tcMar>
          </w:tcPr>
          <w:p>
            <w:r>
              <w:rPr>
                <w:rFonts w:ascii="Arial" w:cs="Arial" w:eastAsia="Arial" w:hAnsi="Arial"/>
                <w:color w:val="1A1A2E"/>
                <w:sz w:val="18"/>
                <w:szCs w:val="18"/>
              </w:rPr>
              <w:t xml:space="preserve">Latent Class Analysis (LCA) combined with Difference-in-Differences (DiD)</w:t>
            </w:r>
          </w:p>
        </w:tc>
      </w:tr>
      <w:tr>
        <w:tc>
          <w:tcPr>
            <w:tcW w:type="dxa" w:w="200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Arial" w:cs="Arial" w:eastAsia="Arial" w:hAnsi="Arial"/>
                <w:b/>
                <w:bCs/>
                <w:color w:val="2E5F8A"/>
                <w:sz w:val="18"/>
                <w:szCs w:val="18"/>
              </w:rPr>
              <w:t xml:space="preserve">Date</w:t>
            </w:r>
          </w:p>
        </w:tc>
        <w:tc>
          <w:tcPr>
            <w:tcW w:type="dxa" w:w="7360"/>
            <w:tcBorders>
              <w:top w:val="none" w:color="FFFFFF" w:sz="0"/>
              <w:left w:val="none" w:color="FFFFFF" w:sz="0"/>
              <w:bottom w:val="none" w:color="FFFFFF" w:sz="0"/>
              <w:right w:val="none" w:color="FFFFFF" w:sz="0"/>
            </w:tcBorders>
            <w:shd w:fill="FFFFFF" w:val="clear"/>
            <w:tcMar>
              <w:top w:type="dxa" w:w="60"/>
              <w:left w:type="dxa" w:w="100"/>
              <w:bottom w:type="dxa" w:w="60"/>
              <w:right w:type="dxa" w:w="100"/>
            </w:tcMar>
          </w:tcPr>
          <w:p>
            <w:r>
              <w:rPr>
                <w:rFonts w:ascii="Arial" w:cs="Arial" w:eastAsia="Arial" w:hAnsi="Arial"/>
                <w:color w:val="1A1A2E"/>
                <w:sz w:val="18"/>
                <w:szCs w:val="18"/>
              </w:rPr>
              <w:t xml:space="preserve">June 2026</w:t>
            </w:r>
          </w:p>
        </w:tc>
      </w:tr>
    </w:tbl>
    <w:p>
      <w:pPr>
        <w:spacing w:after="80" w:before="0"/>
      </w:pPr>
      <w:r>
        <w:t xml:space="preserve"/>
      </w:r>
    </w:p>
    <w:p>
      <w:pPr>
        <w:pBdr>
          <w:bottom w:val="single" w:color="A8C4DC" w:sz="6"/>
        </w:pBdr>
        <w:spacing w:after="60" w:before="180"/>
      </w:pPr>
      <w:r>
        <w:rPr>
          <w:rFonts w:ascii="Arial" w:cs="Arial" w:eastAsia="Arial" w:hAnsi="Arial"/>
          <w:b/>
          <w:bCs/>
          <w:color w:val="1F3864"/>
          <w:sz w:val="18"/>
          <w:szCs w:val="18"/>
        </w:rPr>
        <w:t xml:space="preserve">RESEARCH QUESTION</w:t>
      </w:r>
    </w:p>
    <w:p>
      <w:pPr>
        <w:spacing w:after="80" w:before="0"/>
      </w:pPr>
      <w:r>
        <w:rPr>
          <w:rFonts w:ascii="Arial" w:cs="Arial" w:eastAsia="Arial" w:hAnsi="Arial"/>
          <w:color w:val="1A1A2E"/>
          <w:sz w:val="20"/>
          <w:szCs w:val="20"/>
        </w:rPr>
        <w:t xml:space="preserve">Does the Scottish Child Payment (SCP) reduce child material deprivation, and does its effect vary across latent deprivation profiles? This project combines latent class analysis of the twelve binary child deprivation items in the HBAI with a difference-in-differences design exploiting the phased SCP rollout (2021–2022) to estimate whether, and for which types of children, the £25/week payment improves material living standards.</w:t>
      </w:r>
    </w:p>
    <w:p>
      <w:pPr>
        <w:pBdr>
          <w:bottom w:val="single" w:color="A8C4DC" w:sz="6"/>
        </w:pBdr>
        <w:spacing w:after="60" w:before="180"/>
      </w:pPr>
      <w:r>
        <w:rPr>
          <w:rFonts w:ascii="Arial" w:cs="Arial" w:eastAsia="Arial" w:hAnsi="Arial"/>
          <w:b/>
          <w:bCs/>
          <w:color w:val="1F3864"/>
          <w:sz w:val="18"/>
          <w:szCs w:val="18"/>
        </w:rPr>
        <w:t xml:space="preserve">BACKGROUND AND MOTIVATION</w:t>
      </w:r>
    </w:p>
    <w:p>
      <w:pPr>
        <w:spacing w:after="80" w:before="0"/>
      </w:pPr>
      <w:r>
        <w:rPr>
          <w:rFonts w:ascii="Arial" w:cs="Arial" w:eastAsia="Arial" w:hAnsi="Arial"/>
          <w:color w:val="1A1A2E"/>
          <w:sz w:val="20"/>
          <w:szCs w:val="20"/>
        </w:rPr>
        <w:t xml:space="preserve">The SCP was introduced in February 2021 for children under six in qualifying households, then expanded in November 2022 to all children under 16 at £25/week — creating clean quasi-experimental variation between Scotland (treated) and England (control). Existing evaluations are descriptive or administrative. No published study applies a causal design to material hardship outcomes.</w:t>
      </w:r>
    </w:p>
    <w:p>
      <w:pPr>
        <w:spacing w:after="80" w:before="0"/>
      </w:pPr>
      <w:r>
        <w:rPr>
          <w:rFonts w:ascii="Arial" w:cs="Arial" w:eastAsia="Arial" w:hAnsi="Arial"/>
          <w:color w:val="1A1A2E"/>
          <w:sz w:val="20"/>
          <w:szCs w:val="20"/>
        </w:rPr>
        <w:t xml:space="preserve">Child material deprivation in the HBAI is captured by twelve binary items (lack of coat, holiday, bed, celebrations, school equipment, etc.). Prior work treats these as a simple count. LCA instead recovers latent deprivation profiles — distinct patterns of item-level disadvantage — which a composite score obscures. Whether cash income can shift families across deprivation classes is an open question.</w:t>
      </w:r>
    </w:p>
    <w:p>
      <w:pPr>
        <w:pBdr>
          <w:bottom w:val="single" w:color="A8C4DC" w:sz="6"/>
        </w:pBdr>
        <w:spacing w:after="60" w:before="180"/>
      </w:pPr>
      <w:r>
        <w:rPr>
          <w:rFonts w:ascii="Arial" w:cs="Arial" w:eastAsia="Arial" w:hAnsi="Arial"/>
          <w:b/>
          <w:bCs/>
          <w:color w:val="1F3864"/>
          <w:sz w:val="18"/>
          <w:szCs w:val="18"/>
        </w:rPr>
        <w:t xml:space="preserve">DATA</w:t>
      </w:r>
    </w:p>
    <w:p>
      <w:pPr>
        <w:pStyle w:val="ListParagraph"/>
        <w:numPr>
          <w:ilvl w:val="0"/>
          <w:numId w:val="2"/>
        </w:numPr>
        <w:spacing w:after="60" w:before="0"/>
      </w:pPr>
      <w:r>
        <w:rPr>
          <w:rFonts w:ascii="Arial" w:cs="Arial" w:eastAsia="Arial" w:hAnsi="Arial"/>
          <w:b/>
          <w:bCs/>
          <w:color w:val="2E5F8A"/>
          <w:sz w:val="20"/>
          <w:szCs w:val="20"/>
        </w:rPr>
        <w:t xml:space="preserve">Source: </w:t>
      </w:r>
      <w:r>
        <w:rPr>
          <w:rFonts w:ascii="Arial" w:cs="Arial" w:eastAsia="Arial" w:hAnsi="Arial"/>
          <w:color w:val="1A1A2E"/>
          <w:sz w:val="20"/>
          <w:szCs w:val="20"/>
        </w:rPr>
        <w:t xml:space="preserve">HBAI harmonised individual-level microdata (UKDA-5828), three stacked tab files covering 2016/17–2023/24 in constant 2023/24 prices. One observation per child.</w:t>
      </w:r>
    </w:p>
    <w:p>
      <w:pPr>
        <w:pStyle w:val="ListParagraph"/>
        <w:numPr>
          <w:ilvl w:val="0"/>
          <w:numId w:val="2"/>
        </w:numPr>
        <w:spacing w:after="60" w:before="0"/>
      </w:pPr>
      <w:r>
        <w:rPr>
          <w:rFonts w:ascii="Arial" w:cs="Arial" w:eastAsia="Arial" w:hAnsi="Arial"/>
          <w:b/>
          <w:bCs/>
          <w:color w:val="2E5F8A"/>
          <w:sz w:val="20"/>
          <w:szCs w:val="20"/>
        </w:rPr>
        <w:t xml:space="preserve">LCA indicators: </w:t>
      </w:r>
      <w:r>
        <w:rPr>
          <w:rFonts w:ascii="Arial" w:cs="Arial" w:eastAsia="Arial" w:hAnsi="Arial"/>
          <w:color w:val="1A1A2E"/>
          <w:sz w:val="20"/>
          <w:szCs w:val="20"/>
        </w:rPr>
        <w:t xml:space="preserve">Twelve binary child deprivation items (MDCH_ACT, _BED, _CEL, _COAT, _EQP, _HOL, _LES, _PLAY, _PLY, _TEA, _TRP, _VEG) — the LCA manifest variables.</w:t>
      </w:r>
    </w:p>
    <w:p>
      <w:pPr>
        <w:pStyle w:val="ListParagraph"/>
        <w:numPr>
          <w:ilvl w:val="0"/>
          <w:numId w:val="2"/>
        </w:numPr>
        <w:spacing w:after="60" w:before="0"/>
      </w:pPr>
      <w:r>
        <w:rPr>
          <w:rFonts w:ascii="Arial" w:cs="Arial" w:eastAsia="Arial" w:hAnsi="Arial"/>
          <w:b/>
          <w:bCs/>
          <w:color w:val="2E5F8A"/>
          <w:sz w:val="20"/>
          <w:szCs w:val="20"/>
        </w:rPr>
        <w:t xml:space="preserve">Sample: </w:t>
      </w:r>
      <w:r>
        <w:rPr>
          <w:rFonts w:ascii="Arial" w:cs="Arial" w:eastAsia="Arial" w:hAnsi="Arial"/>
          <w:color w:val="1A1A2E"/>
          <w:sz w:val="20"/>
          <w:szCs w:val="20"/>
        </w:rPr>
        <w:t xml:space="preserve">Scotland (GVTREGN = 12) vs. England regions. Children aged ≤ 16. 2020/21 excluded (COVID disruption). Final analytic sample: ~99,000 child-year observations with full deprivation module.</w:t>
      </w:r>
    </w:p>
    <w:p>
      <w:pPr>
        <w:pStyle w:val="ListParagraph"/>
        <w:numPr>
          <w:ilvl w:val="0"/>
          <w:numId w:val="2"/>
        </w:numPr>
        <w:spacing w:after="60" w:before="0"/>
      </w:pPr>
      <w:r>
        <w:rPr>
          <w:rFonts w:ascii="Arial" w:cs="Arial" w:eastAsia="Arial" w:hAnsi="Arial"/>
          <w:b/>
          <w:bCs/>
          <w:color w:val="2E5F8A"/>
          <w:sz w:val="20"/>
          <w:szCs w:val="20"/>
        </w:rPr>
        <w:t xml:space="preserve">Validation: </w:t>
      </w:r>
      <w:r>
        <w:rPr>
          <w:rFonts w:ascii="Arial" w:cs="Arial" w:eastAsia="Arial" w:hAnsi="Arial"/>
          <w:color w:val="1A1A2E"/>
          <w:sz w:val="20"/>
          <w:szCs w:val="20"/>
        </w:rPr>
        <w:t xml:space="preserve">FOODSEC (3-level food security) and LOWINCMDCH (combined low income and material deprivation) used for outcome validation.</w:t>
      </w:r>
    </w:p>
    <w:p>
      <w:pPr>
        <w:pBdr>
          <w:bottom w:val="single" w:color="A8C4DC" w:sz="6"/>
        </w:pBdr>
        <w:spacing w:after="60" w:before="180"/>
      </w:pPr>
      <w:r>
        <w:rPr>
          <w:rFonts w:ascii="Arial" w:cs="Arial" w:eastAsia="Arial" w:hAnsi="Arial"/>
          <w:b/>
          <w:bCs/>
          <w:color w:val="1F3864"/>
          <w:sz w:val="18"/>
          <w:szCs w:val="18"/>
        </w:rPr>
        <w:t xml:space="preserve">EMPIRICAL STRATEGY</w:t>
      </w:r>
    </w:p>
    <w:p>
      <w:pPr>
        <w:spacing w:after="80" w:before="0"/>
      </w:pPr>
      <w:r>
        <w:rPr>
          <w:rFonts w:ascii="Arial" w:cs="Arial" w:eastAsia="Arial" w:hAnsi="Arial"/>
          <w:color w:val="1A1A2E"/>
          <w:sz w:val="20"/>
          <w:szCs w:val="20"/>
        </w:rPr>
        <w:t xml:space="preserve">The analysis proceeds in three stages:</w:t>
      </w:r>
    </w:p>
    <w:p>
      <w:pPr>
        <w:pStyle w:val="ListParagraph"/>
        <w:numPr>
          <w:ilvl w:val="0"/>
          <w:numId w:val="2"/>
        </w:numPr>
        <w:spacing w:after="60" w:before="0"/>
      </w:pPr>
      <w:r>
        <w:rPr>
          <w:rFonts w:ascii="Arial" w:cs="Arial" w:eastAsia="Arial" w:hAnsi="Arial"/>
          <w:b/>
          <w:bCs/>
          <w:color w:val="2E5F8A"/>
          <w:sz w:val="20"/>
          <w:szCs w:val="20"/>
        </w:rPr>
        <w:t xml:space="preserve">Stage 1 — LCA: </w:t>
      </w:r>
      <w:r>
        <w:rPr>
          <w:rFonts w:ascii="Arial" w:cs="Arial" w:eastAsia="Arial" w:hAnsi="Arial"/>
          <w:color w:val="1A1A2E"/>
          <w:sz w:val="20"/>
          <w:szCs w:val="20"/>
        </w:rPr>
        <w:t xml:space="preserve">Fit an LCA model on the twelve binary MDCH items using the pre-SCP period (2016/17–2020/21), selecting the number of classes by BIC and interpretability. Classes are expected to reflect low, moderate, and high deprivation profiles, with item-specific patterns (e.g. a class deprived primarily on experiential items vs. basic necessities).</w:t>
      </w:r>
    </w:p>
    <w:p>
      <w:pPr>
        <w:pStyle w:val="ListParagraph"/>
        <w:numPr>
          <w:ilvl w:val="0"/>
          <w:numId w:val="2"/>
        </w:numPr>
        <w:spacing w:after="60" w:before="0"/>
      </w:pPr>
      <w:r>
        <w:rPr>
          <w:rFonts w:ascii="Arial" w:cs="Arial" w:eastAsia="Arial" w:hAnsi="Arial"/>
          <w:b/>
          <w:bCs/>
          <w:color w:val="2E5F8A"/>
          <w:sz w:val="20"/>
          <w:szCs w:val="20"/>
        </w:rPr>
        <w:t xml:space="preserve">Stage 2 — Classification: </w:t>
      </w:r>
      <w:r>
        <w:rPr>
          <w:rFonts w:ascii="Arial" w:cs="Arial" w:eastAsia="Arial" w:hAnsi="Arial"/>
          <w:color w:val="1A1A2E"/>
          <w:sz w:val="20"/>
          <w:szCs w:val="20"/>
        </w:rPr>
        <w:t xml:space="preserve">Apply fixed class parameters to the full panel (2016/17–2023/24) to assign posterior class probabilities and modal class membership for each child-year observation. This holds the class structure constant and avoids contamination from post-treatment compositional change.</w:t>
      </w:r>
    </w:p>
    <w:p>
      <w:pPr>
        <w:pStyle w:val="ListParagraph"/>
        <w:numPr>
          <w:ilvl w:val="0"/>
          <w:numId w:val="2"/>
        </w:numPr>
        <w:spacing w:after="60" w:before="0"/>
      </w:pPr>
      <w:r>
        <w:rPr>
          <w:rFonts w:ascii="Arial" w:cs="Arial" w:eastAsia="Arial" w:hAnsi="Arial"/>
          <w:b/>
          <w:bCs/>
          <w:color w:val="2E5F8A"/>
          <w:sz w:val="20"/>
          <w:szCs w:val="20"/>
        </w:rPr>
        <w:t xml:space="preserve">Stage 3 — LCA-DiD: </w:t>
      </w:r>
      <w:r>
        <w:rPr>
          <w:rFonts w:ascii="Arial" w:cs="Arial" w:eastAsia="Arial" w:hAnsi="Arial"/>
          <w:color w:val="1A1A2E"/>
          <w:sz w:val="20"/>
          <w:szCs w:val="20"/>
        </w:rPr>
        <w:t xml:space="preserve">Estimate DiD regressions within each class (and for class transition probabilities) using a two-way fixed effects model with year and country-group indicators. The main coefficient of interest is the Scotland × post-2022 interaction. Callaway–Sant'Anna (2021) estimators are used to account for staggered rollout across the 2021 and 2022 treatment cohorts.</w:t>
      </w:r>
    </w:p>
    <w:p>
      <w:pPr>
        <w:pBdr>
          <w:bottom w:val="single" w:color="A8C4DC" w:sz="6"/>
        </w:pBdr>
        <w:spacing w:after="60" w:before="180"/>
      </w:pPr>
      <w:r>
        <w:rPr>
          <w:rFonts w:ascii="Arial" w:cs="Arial" w:eastAsia="Arial" w:hAnsi="Arial"/>
          <w:b/>
          <w:bCs/>
          <w:color w:val="1F3864"/>
          <w:sz w:val="18"/>
          <w:szCs w:val="18"/>
        </w:rPr>
        <w:t xml:space="preserve">CONTRIBUTION</w:t>
      </w:r>
    </w:p>
    <w:p>
      <w:pPr>
        <w:pStyle w:val="ListParagraph"/>
        <w:numPr>
          <w:ilvl w:val="0"/>
          <w:numId w:val="2"/>
        </w:numPr>
        <w:spacing w:after="60" w:before="0"/>
      </w:pPr>
      <w:r>
        <w:rPr>
          <w:rFonts w:ascii="Arial" w:cs="Arial" w:eastAsia="Arial" w:hAnsi="Arial"/>
          <w:b/>
          <w:bCs/>
          <w:color w:val="2E5F8A"/>
          <w:sz w:val="20"/>
          <w:szCs w:val="20"/>
        </w:rPr>
        <w:t xml:space="preserve">Causal evidence: </w:t>
      </w:r>
      <w:r>
        <w:rPr>
          <w:rFonts w:ascii="Arial" w:cs="Arial" w:eastAsia="Arial" w:hAnsi="Arial"/>
          <w:color w:val="1A1A2E"/>
          <w:sz w:val="20"/>
          <w:szCs w:val="20"/>
        </w:rPr>
        <w:t xml:space="preserve">First quasi-experimental estimate of SCP impact on child material deprivation using HBAI microdata.</w:t>
      </w:r>
    </w:p>
    <w:p>
      <w:pPr>
        <w:pStyle w:val="ListParagraph"/>
        <w:numPr>
          <w:ilvl w:val="0"/>
          <w:numId w:val="2"/>
        </w:numPr>
        <w:spacing w:after="60" w:before="0"/>
      </w:pPr>
      <w:r>
        <w:rPr>
          <w:rFonts w:ascii="Arial" w:cs="Arial" w:eastAsia="Arial" w:hAnsi="Arial"/>
          <w:b/>
          <w:bCs/>
          <w:color w:val="2E5F8A"/>
          <w:sz w:val="20"/>
          <w:szCs w:val="20"/>
        </w:rPr>
        <w:t xml:space="preserve">Heterogeneity: </w:t>
      </w:r>
      <w:r>
        <w:rPr>
          <w:rFonts w:ascii="Arial" w:cs="Arial" w:eastAsia="Arial" w:hAnsi="Arial"/>
          <w:color w:val="1A1A2E"/>
          <w:sz w:val="20"/>
          <w:szCs w:val="20"/>
        </w:rPr>
        <w:t xml:space="preserve">LCA reveals whether SCP disproportionately benefits children in specific deprivation profiles — a policy-relevant finding for targeting and transfer design.</w:t>
      </w:r>
    </w:p>
    <w:p>
      <w:pPr>
        <w:pStyle w:val="ListParagraph"/>
        <w:numPr>
          <w:ilvl w:val="0"/>
          <w:numId w:val="2"/>
        </w:numPr>
        <w:spacing w:after="60" w:before="0"/>
      </w:pPr>
      <w:r>
        <w:rPr>
          <w:rFonts w:ascii="Arial" w:cs="Arial" w:eastAsia="Arial" w:hAnsi="Arial"/>
          <w:b/>
          <w:bCs/>
          <w:color w:val="2E5F8A"/>
          <w:sz w:val="20"/>
          <w:szCs w:val="20"/>
        </w:rPr>
        <w:t xml:space="preserve">Methodological: </w:t>
      </w:r>
      <w:r>
        <w:rPr>
          <w:rFonts w:ascii="Arial" w:cs="Arial" w:eastAsia="Arial" w:hAnsi="Arial"/>
          <w:color w:val="1A1A2E"/>
          <w:sz w:val="20"/>
          <w:szCs w:val="20"/>
        </w:rPr>
        <w:t xml:space="preserve">Bridges the measurement-error literature (Bound et al., 2001; Nolan &amp; Whelan, 1996) and LCA methodology to show how composite deprivation scores can obscure heterogeneous treatment effects.</w:t>
      </w:r>
    </w:p>
    <w:sectPr>
      <w:pgSz w:w="11906" w:h="16838" w:orient="portrait"/>
      <w:pgMar w:top="10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2026-06-22T16:31:01.257Z</dcterms:created>
  <dcterms:modified xsi:type="dcterms:W3CDTF">2026-06-22T16:31:01.257Z</dcterms:modified>
</cp:coreProperties>
</file>

<file path=docProps/custom.xml><?xml version="1.0" encoding="utf-8"?>
<Properties xmlns="http://schemas.openxmlformats.org/officeDocument/2006/custom-properties" xmlns:vt="http://schemas.openxmlformats.org/officeDocument/2006/docPropsVTypes"/>
</file>