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bCs/>
          <w:sz w:val="36"/>
          <w:szCs w:val="36"/>
        </w:rPr>
        <w:t xml:space="preserve">Literature Review</w:t>
      </w:r>
    </w:p>
    <w:p>
      <w:pPr>
        <w:spacing w:after="360" w:before="0"/>
      </w:pPr>
      <w:r>
        <w:rPr>
          <w:rFonts w:ascii="Times New Roman" w:cs="Times New Roman" w:eastAsia="Times New Roman" w:hAnsi="Times New Roman"/>
          <w:i/>
          <w:iCs/>
          <w:color w:val="555555"/>
          <w:sz w:val="24"/>
          <w:szCs w:val="24"/>
        </w:rPr>
        <w:t xml:space="preserve">Scottish Child Payment: Hardship Measurement and Causal Identification</w:t>
      </w:r>
    </w:p>
    <w:p>
      <w:pPr>
        <w:pBdr>
          <w:bottom w:val="single" w:color="AAAAAA" w:sz="3" w:space="6"/>
        </w:pBdr>
        <w:spacing w:after="120" w:before="340"/>
      </w:pPr>
      <w:r>
        <w:rPr>
          <w:rFonts w:ascii="Times New Roman" w:cs="Times New Roman" w:eastAsia="Times New Roman" w:hAnsi="Times New Roman"/>
          <w:b/>
          <w:bCs/>
          <w:color w:val="1a1a1a"/>
          <w:sz w:val="26"/>
          <w:szCs w:val="26"/>
        </w:rPr>
        <w:t xml:space="preserve">1. Measuring Hardship: Conceptual Frameworks and the Divergence Problem</w:t>
      </w:r>
    </w:p>
    <w:p>
      <w:pPr>
        <w:spacing w:after="200" w:before="0"/>
        <w:ind w:firstLine="720"/>
        <w:jc w:val="both"/>
      </w:pPr>
      <w:r>
        <w:rPr>
          <w:rFonts w:ascii="Times New Roman" w:cs="Times New Roman" w:eastAsia="Times New Roman" w:hAnsi="Times New Roman"/>
          <w:sz w:val="24"/>
          <w:szCs w:val="24"/>
        </w:rPr>
        <w:t xml:space="preserve">The conceptual foundation for measuring poverty through material conditions rather than income alone originates with Townsend (1979), whose survey of poverty in the United Kingdom defined deprivation as the absence of resources needed to participate in ordinary living patterns. Townsend operationalised this through a 60-item deprivation index drawn from survey data, demonstrating that households identified as poor on material grounds did not map neatly onto those identified as income-poor. This relative conception challenged the income-threshold approaches dominant at the time and established the principle that hardship measurement is inherently multi-dimensional. Sen (1985) provided a parallel theoretical foundation through the capabilities framework, arguing that poverty is fundamentally about the curtailment of substantive freedoms; income is merely one determinant of capability and an imperfect proxy for the lived experience of deprivation.</w:t>
      </w:r>
    </w:p>
    <w:p>
      <w:pPr>
        <w:spacing w:after="200" w:before="0"/>
        <w:ind w:firstLine="720"/>
        <w:jc w:val="both"/>
      </w:pPr>
      <w:r>
        <w:rPr>
          <w:rFonts w:ascii="Times New Roman" w:cs="Times New Roman" w:eastAsia="Times New Roman" w:hAnsi="Times New Roman"/>
          <w:sz w:val="24"/>
          <w:szCs w:val="24"/>
        </w:rPr>
        <w:t xml:space="preserve">The empirical significance of the distinction between income and material deprivation was rigorously established by Nolan and Whelan (1996), who showed using Irish survey data that the income-poor and the materially deprived constitute substantially different populations: many households below the income threshold score satisfactorily on deprivation indicators, while others above it report multiple material lacks. Whelan, Layte and Maître (2004) extended this longitudinally, showing the divergence persists over time and reflects accumulated resources, debt histories, and household composition rather than simply current income flows. Townsend's own threshold finding — that deprivation rose sharply below a specific income level — was criticised by Piachaud (1981), who demonstrated that the apparent threshold was an artefact of item selection and scoring rather than a genuine discontinuity in living standards. This methodological critique anticipates a central concern of the present dissertation: the choice of hardship items and thresholds shapes estimates of prevalence and sensitivity to income changes, so that different indicators may respond differently to a given income transfer even when all are intended to measure the same underlying construct. The Family Resources Survey (FRS) material deprivation module broadly follows the EU-SILC framework (Eurostat, 2020), using binary items on the absence of goods and activities that households report as unaffordable rather than unwanted. Main and Bradshaw (2016) demonstrate that composite child deprivation indices constructed from such items are sensitive to item choice and threshold specification. These findings motivate treating the selection of hardship outcome as a substantive analytical decision rather than a convenience.</w:t>
      </w:r>
    </w:p>
    <w:p>
      <w:pPr>
        <w:pBdr>
          <w:bottom w:val="single" w:color="AAAAAA" w:sz="3" w:space="6"/>
        </w:pBdr>
        <w:spacing w:after="120" w:before="340"/>
      </w:pPr>
      <w:r>
        <w:rPr>
          <w:rFonts w:ascii="Times New Roman" w:cs="Times New Roman" w:eastAsia="Times New Roman" w:hAnsi="Times New Roman"/>
          <w:b/>
          <w:bCs/>
          <w:color w:val="1a1a1a"/>
          <w:sz w:val="26"/>
          <w:szCs w:val="26"/>
        </w:rPr>
        <w:t xml:space="preserve">2. Measurement Error in Survey-Based Hardship Indicators</w:t>
      </w:r>
    </w:p>
    <w:p>
      <w:pPr>
        <w:spacing w:after="200" w:before="0"/>
        <w:ind w:firstLine="720"/>
        <w:jc w:val="both"/>
      </w:pPr>
      <w:r>
        <w:rPr>
          <w:rFonts w:ascii="Times New Roman" w:cs="Times New Roman" w:eastAsia="Times New Roman" w:hAnsi="Times New Roman"/>
          <w:sz w:val="24"/>
          <w:szCs w:val="24"/>
        </w:rPr>
        <w:t xml:space="preserve">A second body of literature, and the theoretical anchor of this dissertation's original contribution, concerns the reliability of survey-based hardship measures. Bound, Brown and Mathiowetz (2001) provide the definitive treatment. Under classical measurement error — where error is random, mean-zero, and independent of the true value — a mismeasured binary dependent variable attenuates estimated treatment effects toward zero. The degree of attenuation depends on the signal-to-noise ratio of the specific indicator. Because the FRS hardship items differ in their susceptibility to response error (subjective assessments such as ADBTBL, whether a household is "keeping up with bills", are more vulnerable to framing effects than observable material items), attenuation bias is likely to differ systematically across outcome measures. This implies that DiD estimates of the Scottish Child Payment's effect will not be directly comparable across indicators without accounting for differential reliability.</w:t>
      </w:r>
    </w:p>
    <w:p>
      <w:pPr>
        <w:spacing w:after="200" w:before="0"/>
        <w:ind w:firstLine="720"/>
        <w:jc w:val="both"/>
      </w:pPr>
      <w:r>
        <w:rPr>
          <w:rFonts w:ascii="Times New Roman" w:cs="Times New Roman" w:eastAsia="Times New Roman" w:hAnsi="Times New Roman"/>
          <w:sz w:val="24"/>
          <w:szCs w:val="24"/>
        </w:rPr>
        <w:t xml:space="preserve">The classical measurement error framework is, however, a restrictive special case. Bound and Krueger (1991) showed that measurement error in survey responses is typically non-classical: errors are correlated with true values and may differ between groups. Meyer, Mok and Sullivan (2015) document systematic under-reporting of government benefit receipt in household surveys, with under-reporting correlated with programme characteristics and respondent demographics. In the FRS context, this raises the possibility that Universal Credit receipt — the primary eligibility criterion for the SCP — is itself mis-measured in a way that varies between Scotland and England. If Scottish respondents are more likely to correctly report UC receipt following the SCP rollout (because the payment itself increases awareness of benefit status), then the effective treatment indicator becomes differentially measured across the groups being compared, introducing bias into the DiD estimate that goes beyond simple attenuation. Kreider et al. (2012) and Almada, McCarthy and Tchernis (2015) demonstrate in the context of US food assistance that ignoring non-classical misreporting in both treatment and outcome can produce point estimates that exceed the nonparametric bounds derived by Manski (1990), meaning the estimates are not just imprecise but logically inconsistent with any data-generating process satisfying basic monotonicity conditions.</w:t>
      </w:r>
    </w:p>
    <w:p>
      <w:pPr>
        <w:spacing w:after="200" w:before="0"/>
        <w:ind w:firstLine="720"/>
        <w:jc w:val="both"/>
      </w:pPr>
      <w:r>
        <w:rPr>
          <w:rFonts w:ascii="Times New Roman" w:cs="Times New Roman" w:eastAsia="Times New Roman" w:hAnsi="Times New Roman"/>
          <w:sz w:val="24"/>
          <w:szCs w:val="24"/>
        </w:rPr>
        <w:t xml:space="preserve">A further complication specific to this dataset is the ongoing transition of the FRS and HBAI from self-reported benefit receipt to administrative data linkage. Data up to and including 2020/21 rely on respondents' self-reported UC status; from 2021/22 onwards, UC receipt is derived from administrative records matched to survey respondents. This transition substantially reduces measurement error in the treatment indicator — administrative records are far less prone to under-reporting than self-assessed benefit status — but it creates a structural break in the measurement process at exactly the boundary between the pre- and post-treatment periods. A change in recorded UC receipt rates around 2021/22 therefore conflates the true behavioural effect of SCP eligibility with an artefact of improved measurement quality. This is a non-standard source of differential measurement error in the DiD context: the outcome variables (hardship indicators) remain self-reported throughout, while the treatment indicator changes measurement regime at the treatment boundary. Sensitivity analysis comparing estimates constructed using only the self-reported pre-2021/22 data as pre-period against those using the full sample is a necessary robustness check, and the main estimates must be interpreted with this regime shift in mind.</w:t>
      </w:r>
    </w:p>
    <w:p>
      <w:pPr>
        <w:pBdr>
          <w:bottom w:val="single" w:color="AAAAAA" w:sz="3" w:space="6"/>
        </w:pBdr>
        <w:spacing w:after="120" w:before="340"/>
      </w:pPr>
      <w:r>
        <w:rPr>
          <w:rFonts w:ascii="Times New Roman" w:cs="Times New Roman" w:eastAsia="Times New Roman" w:hAnsi="Times New Roman"/>
          <w:b/>
          <w:bCs/>
          <w:color w:val="1a1a1a"/>
          <w:sz w:val="26"/>
          <w:szCs w:val="26"/>
        </w:rPr>
        <w:t xml:space="preserve">3. Causal Identification: Difference-in-Differences and Staggered Treatment</w:t>
      </w:r>
    </w:p>
    <w:p>
      <w:pPr>
        <w:spacing w:after="200" w:before="0"/>
        <w:ind w:firstLine="720"/>
        <w:jc w:val="both"/>
      </w:pPr>
      <w:r>
        <w:rPr>
          <w:rFonts w:ascii="Times New Roman" w:cs="Times New Roman" w:eastAsia="Times New Roman" w:hAnsi="Times New Roman"/>
          <w:sz w:val="24"/>
          <w:szCs w:val="24"/>
        </w:rPr>
        <w:t xml:space="preserve">The identification strategy employed in this dissertation belongs to the difference-in-differences tradition. The foundational application is Card and Krueger (1994), who compared fast food employment across state boundaries in New Jersey and Pennsylvania before and after a minimum wage change — a design that is structurally identical to the Scotland versus England comparison exploited here. The canonical identifying assumption is that, absent treatment, the treated and control groups would have followed parallel outcome trends over time (Angrist and Pischke, 2009). The credibility of this assumption depends critically on whether the treated and control groups are comparable on pre-treatment characteristics that predict outcome dynamics. Heckman, Ichimura, Smith and Todd (1998), using experimental data from the US Job Training Partnership Act programme as a benchmark, demonstrated empirically that unconditional DiD often fails to remove selection bias when the support of the propensity score differs between treated and controls, and that conditioning on observable characteristics substantially improves performance. Abadie (2005) formalised this insight through a semiparametric DiD estimator that reweights the control group using the propensity score — the probability of being in the treated group conditional on covariates — yielding a conditional parallel trends assumption that is strictly weaker than the unconditional version. Scotland and England differ on housing tenure, benefit generosity, industrial composition, and urban structure, all of which plausibly affect hardship trends independently of the SCP; conditional identification is therefore preferred.</w:t>
      </w:r>
    </w:p>
    <w:p>
      <w:pPr>
        <w:spacing w:after="200" w:before="0"/>
        <w:ind w:firstLine="720"/>
        <w:jc w:val="both"/>
      </w:pPr>
      <w:r>
        <w:rPr>
          <w:rFonts w:ascii="Times New Roman" w:cs="Times New Roman" w:eastAsia="Times New Roman" w:hAnsi="Times New Roman"/>
          <w:sz w:val="24"/>
          <w:szCs w:val="24"/>
        </w:rPr>
        <w:t xml:space="preserve">The staggered rollout of the SCP introduces a further complication. The payment was introduced for children under six in February 2021, raised from £10 to £20 per week in April 2022, and expanded to all children under sixteen at £25 per week in November 2022, creating two distinct treatment cohorts. Goodman-Bacon (2021) shows that the standard two-way fixed effects (TWFE) estimator in this setting is a weighted average of all possible 2×2 DiDs across cohorts and time periods, with some weights potentially negative when treatment effects are heterogeneous or grow over time — the latter being plausible for SCP as families adjust spending patterns. De Chaisemartin and D'Haultfoeuille (2020) confirm the problem and propose an estimator that restricts comparisons to groups whose treatment status just changed relative to stable groups, avoiding contaminated comparisons. Callaway and Sant'Anna (2021) provide the preferred framework: defining cohort-specific average treatment effects on the treated, denoted ATT(g,t), where g is the period in which a cohort first receives treatment and t is the calendar period of evaluation. These can be aggregated into a simple ATT (averaging across all cohort-period cells) or a dynamic ATT (averaging across relative time since treatment), the latter being particularly informative for showing whether effects build over time following the 2022 expansion. Sun and Abraham (2021) propose an interaction-weighted estimator that provides a closely related cross-check implementable within a standard regression framework.</w:t>
      </w:r>
    </w:p>
    <w:p>
      <w:pPr>
        <w:spacing w:after="200" w:before="0"/>
        <w:ind w:firstLine="720"/>
        <w:jc w:val="both"/>
      </w:pPr>
      <w:r>
        <w:rPr>
          <w:rFonts w:ascii="Times New Roman" w:cs="Times New Roman" w:eastAsia="Times New Roman" w:hAnsi="Times New Roman"/>
          <w:sz w:val="24"/>
          <w:szCs w:val="24"/>
        </w:rPr>
        <w:t xml:space="preserve">A practical constraint of the staggered design is the small sample available for the 2021 cohort. The February 2021 rollout covered only families with a child under six receiving UC — a narrow subgroup within a survey that already observes Scotland in modest numbers. The FRS Scottish subsample runs to roughly 2,500–3,000 households per wave; the eligible under-six cohort within that is substantially smaller, leaving limited power to detect effects from the initial rollout. The November 2022 expansion to all children under sixteen is a far larger population shock and generates the bulk of the statistical variation exploited in this dissertation. Nesom, Stewart and Tominey (2025) and Andersen et al. (2025) both take this approach, treating November 2022 as the primary treatment event and pooling post-November 2022 data as the treated period. There are reasons to retain the 2021 wave in the staggered design nonetheless — it contributes to the ATT(g,t) grid and provides an additional pre-expansion period against which effects can be assessed — but the main estimates should be understood as driven predominantly by the November 2022 expansion, and results should be checked for sensitivity to restricting the analysis to the post-2022 period only. Throughout this dissertation, the Callaway-Sant'Anna estimator is the primary specification, with TWFE, Sun-Abraham, and de Chaisemartin-D'Haultfoeuille reported as diagnostics.</w:t>
      </w:r>
    </w:p>
    <w:p>
      <w:pPr>
        <w:pBdr>
          <w:bottom w:val="single" w:color="AAAAAA" w:sz="3" w:space="6"/>
        </w:pBdr>
        <w:spacing w:after="120" w:before="340"/>
      </w:pPr>
      <w:r>
        <w:rPr>
          <w:rFonts w:ascii="Times New Roman" w:cs="Times New Roman" w:eastAsia="Times New Roman" w:hAnsi="Times New Roman"/>
          <w:b/>
          <w:bCs/>
          <w:color w:val="1a1a1a"/>
          <w:sz w:val="26"/>
          <w:szCs w:val="26"/>
        </w:rPr>
        <w:t xml:space="preserve">4. Doubly Robust and Machine Learning-Augmented Estimators</w:t>
      </w:r>
    </w:p>
    <w:p>
      <w:pPr>
        <w:spacing w:after="200" w:before="0"/>
        <w:ind w:firstLine="720"/>
        <w:jc w:val="both"/>
      </w:pPr>
      <w:r>
        <w:rPr>
          <w:rFonts w:ascii="Times New Roman" w:cs="Times New Roman" w:eastAsia="Times New Roman" w:hAnsi="Times New Roman"/>
          <w:sz w:val="24"/>
          <w:szCs w:val="24"/>
        </w:rPr>
        <w:t xml:space="preserve">Conditioning on observable covariates within a DiD framework requires modelling choices for the propensity score and, in some specifications, the outcome regression. Two approaches exist: the inverse probability weighting (IPW) estimator of Abadie (2005), which relies on a correctly specified propensity score, and the outcome regression (OR) approach, which requires correctly specified conditional outcome models. Each is consistent only if its respective model is correct. Sant'Anna and Zhao (2020) resolve this by combining both into a doubly robust (DR) DiD estimator: the resulting estimate identifies the ATT if either — but not necessarily both — the propensity score or the outcome regression is correctly specified. This double robustness property provides insurance against model misspecification in either dimension. Importantly, Sant'Anna and Zhao derive their estimator explicitly for repeated cross-section data, the structure of the FRS, and prove it attains the semiparametric efficiency bound, meaning it is as precise as any estimator satisfying the maintained assumptions.</w:t>
      </w:r>
    </w:p>
    <w:p>
      <w:pPr>
        <w:spacing w:after="200" w:before="0"/>
        <w:ind w:firstLine="720"/>
        <w:jc w:val="both"/>
      </w:pPr>
      <w:r>
        <w:rPr>
          <w:rFonts w:ascii="Times New Roman" w:cs="Times New Roman" w:eastAsia="Times New Roman" w:hAnsi="Times New Roman"/>
          <w:sz w:val="24"/>
          <w:szCs w:val="24"/>
        </w:rPr>
        <w:t xml:space="preserve">Applying parametric models for these nuisance functions imposes functional form restrictions that may be inappropriate given the heterogeneity of Scottish and English households across family types, employment patterns, and benefit combinations. Chernozhukov et al. (2018) show that substituting machine learning estimators for the propensity score and outcome models would ordinarily bias the treatment effect estimate through regularisation: the penalty terms that make ML estimators perform well out-of-sample introduce systematic bias into the coefficient of interest. They demonstrate that this contamination can be removed through two corrections: reformulating the estimating equation using a Neyman-orthogonal moment condition, so that errors in the nuisance parameters affect the treatment effect estimate only at second order, and using cross-fitting, in which nuisance models are trained on held-out folds to prevent overfitting from propagating into the treatment effect score. Chang (2020) derives the specific Neyman-orthogonal score for the DiD setting, confirming that the resulting double machine learning DiD estimator is root-N consistent and asymptotically normal. This combined DML-DiD approach is implemented in the empirical analysis using cross-fitted gradient boosted trees and lasso for the nuisance models, allowing flexible adjustment for the covariate differences between Scotland and England without requiring parametric assumptions.</w:t>
      </w:r>
    </w:p>
    <w:p>
      <w:pPr>
        <w:pBdr>
          <w:bottom w:val="single" w:color="AAAAAA" w:sz="3" w:space="6"/>
        </w:pBdr>
        <w:spacing w:after="120" w:before="340"/>
      </w:pPr>
      <w:r>
        <w:rPr>
          <w:rFonts w:ascii="Times New Roman" w:cs="Times New Roman" w:eastAsia="Times New Roman" w:hAnsi="Times New Roman"/>
          <w:b/>
          <w:bCs/>
          <w:color w:val="1a1a1a"/>
          <w:sz w:val="26"/>
          <w:szCs w:val="26"/>
        </w:rPr>
        <w:t xml:space="preserve">5. Income Transfers, Child Poverty, and the Scottish Child Payment</w:t>
      </w:r>
    </w:p>
    <w:p>
      <w:pPr>
        <w:spacing w:after="200" w:before="0"/>
        <w:ind w:firstLine="720"/>
        <w:jc w:val="both"/>
      </w:pPr>
      <w:r>
        <w:rPr>
          <w:rFonts w:ascii="Times New Roman" w:cs="Times New Roman" w:eastAsia="Times New Roman" w:hAnsi="Times New Roman"/>
          <w:sz w:val="24"/>
          <w:szCs w:val="24"/>
        </w:rPr>
        <w:t xml:space="preserve">The broader literature on unconditional cash transfers provides the theoretical prior for expecting the SCP to reduce hardship. Haushofer and Shapiro (2016), using a randomised controlled trial of unconditional cash transfers in Kenya, find large consumption responses, improvements in food security, and gains in psychological wellbeing nine months after transfers began. The effects were robust across household types and transfer sizes, and monthly transfers were more effective than lump-sum payments at improving food security — a finding with direct relevance to the SCP, which is paid in four-weekly instalments. In a developed country context, Forget (2011) revisited the Canadian MINCOME experiment of the 1970s, showing that a guaranteed annual income produced significant reductions in hospitalisation, particularly for mental health admissions, and improvements in educational attainment, suggesting that income transfers affect wellbeing through channels beyond immediate consumption. The mechanisms linking income transfers to hardship in the UK context specifically were documented by Gregg, Waldfogel and Washbrook (2006), who showed that low-income families increased spending on food, children's books, and other goods directly related to children's wellbeing in response to tax credit expansions under New Labour, providing evidence of the spending channel through which a payment like the SCP would be expected to reduce material deprivation.</w:t>
      </w:r>
    </w:p>
    <w:p>
      <w:pPr>
        <w:spacing w:after="200" w:before="0"/>
        <w:ind w:firstLine="720"/>
        <w:jc w:val="both"/>
      </w:pPr>
      <w:r>
        <w:rPr>
          <w:rFonts w:ascii="Times New Roman" w:cs="Times New Roman" w:eastAsia="Times New Roman" w:hAnsi="Times New Roman"/>
          <w:sz w:val="24"/>
          <w:szCs w:val="24"/>
        </w:rPr>
        <w:t xml:space="preserve">Turning to the SCP specifically, the existing evidence base is thin. The Scottish Government's interim evaluation (2022) relied on qualitative interviews with 39 SCP recipients conducted when the payment stood at £10 per week and reported improvements in financial wellbeing and parental stress, but offered no counterfactual comparison. Andersen et al. (2025) present the first independent mixed-methods evaluation, comparing Scottish recipients to comparable families in England on financial wellbeing, material deprivation, and parental stress. Their quantitative analysis finds descriptive evidence of improvement on these outcomes in Scotland relative to England following SCP rollout, but the design does not apply a formal DiD estimator or account for covariate imbalance between the groups. Nesom, Stewart and Tominey (2025) use the same FRS and HBAI data as this dissertation, pooling 2016/17 to 2023/24 and comparing Scotland to England in a DiD framework, to examine labour supply effects; they find no evidence that SCP reduced employment or hours worked, closing an important potential confounding channel for the hardship analysis. No published study applies a quasi-experimental design to estimate the effect of the SCP on multiple hardship outcomes simultaneously, nor examines how the choice of hardship indicator — and the measurement properties specific to each — affects the estimated treatment effect. This dissertation addresses both gaps, contributing a rigorous DiD evaluation of SCP's effects on hardship alongside a systematic examination of how measurement error and indicator selection shape what income transfers appear to achieve.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2026-06-29T15:43:18.636Z</dcterms:created>
  <dcterms:modified xsi:type="dcterms:W3CDTF">2026-06-29T15:43:18.637Z</dcterms:modified>
</cp:coreProperties>
</file>

<file path=docProps/custom.xml><?xml version="1.0" encoding="utf-8"?>
<Properties xmlns="http://schemas.openxmlformats.org/officeDocument/2006/custom-properties" xmlns:vt="http://schemas.openxmlformats.org/officeDocument/2006/docPropsVTypes"/>
</file>