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Presentation Cue Cards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Which Dimensions of Child Deprivation Does the Scottish Child Payment Reduce?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Guy Pigott — scp_presentation_v2.pptx (15 slides, ~20 min)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How to Use This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One page per slide — terse cues only, not full sentences. Glance, don't read: you already know this material from the full script (presentation_script.docx); this is just a memory jog if you lose your thread mid-slide. Yellow boxes are on-slide issues to keep in mind; blue boxes are things to remember saying even though they aren't fully resolved.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Title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[0:30]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RQ: which dimensions of deprivation does SCP reduce (not all equally)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Data: HBAI 2016/17–2023/24  |  Method: DML-DiD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~20 min talk, questions at the end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2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Motivation &amp; Research Question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[1:30]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SCP = £25/wk — biggest devolved social security move since 2016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Scottish Govt 2024 eval: self-reported, calls for objective evidence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CASE/LSE 2025 (Stewart et al.): composite outcomes + linear controls — my gap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RQ: which dimensions does SCP reduce? Robust to ML adjustment?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3 contributions: item decomposition (10) / DML vs linear / measurement-error framework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3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Policy Background: The Scottish Child Payment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[1:15]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Feb 2021: £10/wk under-6s (~100k kids)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Apr 2022: doubled to £20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Nov 2022 — MAJOR expansion: all under-16s, £25/wk (~300k kids)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2024/25: £26.70 → now £27.15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Scotland-only treatment, same HBAI survey both countries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4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Existing Literature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[1:45]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SCP evals: Scottish Govt 2024 / Stewart CASE 2025 / Nesom-Stewart-Tominey IFS 2025 — none decompose by item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Hardship measurement: Townsend 1979 (relative deprivation) / Almada-McCarthy-Tchernis 2015 (misreporting bias) / Manski 1990 (bounds — fallback)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Causal DiD: Roth 2023 / Sant'Anna-Zhao 2020 / Chernozhukov 2018 + Chang 2020 (Stage 2 foundation)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5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Data: HBAI Individual Microdata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[1:15]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HBAI individual microdata, constant prices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Sample: Scotland + England, ≤16, 2016/17–2023/24, excl. 2020/21 (COVID) &amp; 2024/25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Outcome: 10 binary MDCH items + official DWP flag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DML covariates (20): demographics/disability/income/benefits/housing/tenure/employment/region/year FE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6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Deprivation Variables: 10 Binary MDCH Indicators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[0:45]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10 items: bed, celebrations, coat, school equip., holiday, indoor play, outdoor play, fruit/veg ×2, trips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Coding: raw 1→0 (has it)  |  raw 2→1 (can't afford)  |  raw 3/missing→NA (dropped)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7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Sample Statistics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[1:15]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~51,000 child-year obs, 7 years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Scotland ~6,090  |  England ~44,877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Baseline gaps: material deprivation 0.15 vs 0.205  |  food insecurity 0.135 vs 0.151  |  white HH 0.918 vs 0.766</w:t>
      </w:r>
    </w:p>
    <w:p>
      <w:pPr>
        <w:shd w:fill="FFF3CD" w:val="clear"/>
        <w:spacing w:after="120" w:before="120"/>
      </w:pPr>
      <w:r>
        <w:rPr>
          <w:rFonts w:ascii="Calibri" w:cs="Calibri" w:eastAsia="Calibri" w:hAnsi="Calibri"/>
          <w:b/>
          <w:bCs/>
          <w:color w:val="7A5B00"/>
          <w:sz w:val="24"/>
          <w:szCs w:val="24"/>
        </w:rPr>
        <w:t xml:space="preserve">⚠ fix: 50,967 vs 99,157 mismatch before presenting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8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Methodology: Three-Stage Design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[0:45]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Stage 1: benchmark linear DiD (replicate Stewart et al.)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Stage 2: DML-DiD (Chang 2020), same outcomes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Stage 3: item-level DML-DiD (10 items) + BH-FDR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9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Stage 1: Benchmark DiD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[1:45]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Y: any deprivation / count / severe / official flag — each modelled separately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Controls: income, family type, tenure, #kids, age + Year FE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SEs: region-clustered (Bertrand-Duflo-Mullainathan) + Wild Bootstrap (few clusters)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Valid quasi-experiment: Scotland-only / same survey / 2 rollout waves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10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Pre-Treatment Parallel Trends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[2:00]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Joint Wald: unadj p=0.004, adj p=0.034 (BH-adj 0.005/0.040) — flagged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Individual pre-years NOT significant once adjusted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Defence: Abadie 2005 (conditioning) + Roth 2022 (underpowered, 6k vs 45k)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Ref year = 2016/17 — matches CASE, deliberate not an error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11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Benchmark DiD: Initial Results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[2:00]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Any deprivation: −3.87pp unadj → −5.06pp adj ***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Count: −6.13pp → −8.39pp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Severe: ~0, not significant — mild/moderate moves, not severe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Official flag: −4.80pp → −5.16pp (barely moves w/ controls — reassuring)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N=46,941 (items)  /  50,964 (flag)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12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Stage 2: Double Machine Learning DiD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[2:15]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Why: linear assumes additive effects; DML lets f(X)/g(X) be flexible (lasso+RF)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Neyman orthogonality + cross-fitting → valid inference despite ML bias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Chang (2020): 5-fold split → partial out Y, partial out D → OLS(residuals)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R doubleml package (Bach et al. 2022)</w:t>
      </w:r>
    </w:p>
    <w:p>
      <w:pPr>
        <w:shd w:fill="E7F0FF" w:val="clear"/>
        <w:spacing w:after="120" w:before="120"/>
      </w:pPr>
      <w:r>
        <w:rPr>
          <w:rFonts w:ascii="Calibri" w:cs="Calibri" w:eastAsia="Calibri" w:hAnsi="Calibri"/>
          <w:b/>
          <w:bCs/>
          <w:color w:val="1F4E96"/>
          <w:sz w:val="24"/>
          <w:szCs w:val="24"/>
        </w:rPr>
        <w:t xml:space="preserve">→ slide leads with Chang; code implements Sant'Anna-Zhao (score="observational") — pivot ready if pressed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13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Stage 3: Item-Level Decomposition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[1:30]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Answers RQ directly: which dimensions, not just overall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Composites can mask item-specific effects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10 tests → ~0.6 false positives expected, uncorrected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BH-FDR: flag only if p ≤ (rank / 10) × α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Secondary lens only: measurement error / "awareness effect" — can't confirm, just interpretive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14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Anticipated Issues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[1:15]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BSG / Best Start Foods bundling — Low risk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Staggered rollout: ~100k already treated by Nov 2022 — Moderate. Fix: restrict 6–15, explore Callaway-Sant'Anna (data gap: 2020/21 excluded)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MDCH question revision 2023/24 — Low risk. Tested: 28.5% vs 30.5%, χ² p=0.36, non-differential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Multiple testing + labour market — Moderate. BH-FDR; UC-taper no aggregate effect (Nesom/IFS)</w:t>
      </w:r>
    </w:p>
    <w:p>
      <w:pPr>
        <w:pageBreakBefore/>
        <w:shd w:fill="3B0064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SLIDE 15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3B0064"/>
          <w:sz w:val="34"/>
          <w:szCs w:val="34"/>
        </w:rPr>
        <w:t xml:space="preserve">Summary</w:t>
      </w:r>
      <w:r>
        <w:rPr>
          <w:rFonts w:ascii="Calibri" w:cs="Calibri" w:eastAsia="Calibri" w:hAnsi="Calibri"/>
          <w:i/>
          <w:iCs/>
          <w:color w:val="660099"/>
          <w:sz w:val="24"/>
          <w:szCs w:val="24"/>
        </w:rPr>
        <w:t xml:space="preserve">   [1:00]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RQ  |  Data (~50k obs, 10 items)  |  Method (DML-DiD, Chang 2020)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Contribution: item decomposition + DML robustness + measurement-error framework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Calibri" w:cs="Calibri" w:eastAsia="Calibri" w:hAnsi="Calibri"/>
          <w:sz w:val="27"/>
          <w:szCs w:val="27"/>
        </w:rPr>
        <w:t xml:space="preserve">Status: Stage 1 done w/ real results; Stages 2–3 next</w:t>
      </w:r>
    </w:p>
    <w:p>
      <w:pPr>
        <w:shd w:fill="FFF3CD" w:val="clear"/>
        <w:spacing w:after="120" w:before="120"/>
      </w:pPr>
      <w:r>
        <w:rPr>
          <w:rFonts w:ascii="Calibri" w:cs="Calibri" w:eastAsia="Calibri" w:hAnsi="Calibri"/>
          <w:b/>
          <w:bCs/>
          <w:color w:val="7A5B00"/>
          <w:sz w:val="24"/>
          <w:szCs w:val="24"/>
        </w:rPr>
        <w:t xml:space="preserve">⚠ fix: slide currently says both 10 and 12 items — reconcile before presenting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3B00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2026-07-05T18:06:58.911Z</dcterms:created>
  <dcterms:modified xsi:type="dcterms:W3CDTF">2026-07-05T18:06:58.911Z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