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44"/>
          <w:szCs w:val="44"/>
        </w:rPr>
        <w:t xml:space="preserve">Presentation Script</w:t>
      </w:r>
    </w:p>
    <w:p>
      <w:pPr>
        <w:spacing w:after="60"/>
        <w:jc w:val="center"/>
      </w:pPr>
      <w:r>
        <w:rPr>
          <w:rFonts w:ascii="Calibri" w:cs="Calibri" w:eastAsia="Calibri" w:hAnsi="Calibri"/>
          <w:i/>
          <w:iCs/>
          <w:sz w:val="26"/>
          <w:szCs w:val="26"/>
        </w:rPr>
        <w:t xml:space="preserve">Which Dimensions of Child Deprivation Does the Scottish Child Payment Reduce?</w:t>
      </w:r>
    </w:p>
    <w:p>
      <w:pPr>
        <w:spacing w:after="400"/>
        <w:jc w:val="center"/>
      </w:pPr>
      <w:r>
        <w:rPr>
          <w:rFonts w:ascii="Calibri" w:cs="Calibri" w:eastAsia="Calibri" w:hAnsi="Calibri"/>
          <w:color w:val="555555"/>
          <w:sz w:val="20"/>
          <w:szCs w:val="20"/>
        </w:rPr>
        <w:t xml:space="preserve">Guy Pigott — University of Manchester — scp_presentation_v2.pptx (15 slides, ~20 min)</w:t>
      </w:r>
    </w:p>
    <w:p>
      <w:pPr>
        <w:pStyle w:val="Heading1"/>
      </w:pPr>
      <w:r>
        <w:rPr>
          <w:rFonts w:ascii="Calibri" w:cs="Calibri" w:eastAsia="Calibri" w:hAnsi="Calibri"/>
        </w:rPr>
        <w:t xml:space="preserve">How to Use This Document</w:t>
      </w:r>
    </w:p>
    <w:p>
      <w:pPr>
        <w:spacing w:after="160"/>
      </w:pPr>
      <w:r>
        <w:rPr>
          <w:rFonts w:ascii="Calibri" w:cs="Calibri" w:eastAsia="Calibri" w:hAnsi="Calibri"/>
          <w:b w:val="false"/>
          <w:bCs w:val="false"/>
          <w:i w:val="false"/>
          <w:iCs w:val="false"/>
          <w:sz w:val="22"/>
          <w:szCs w:val="22"/>
        </w:rPr>
        <w:t xml:space="preserve">This is a full spoken-word script, slide by slide, matched to the current version of scp_presentation_v2.pptx. Use it to rehearse and internalise the material — the rubric specifically penalises "reading off slides" under Presentation Skills &amp; Engagement, so the goal is to know this well enough to speak from the slide headings alone, glancing at this script only if you lose your thread. Timings are approximate and sum to about 20 minutes; the heaviest technical weight sits on Slides 10, 11 and 12, so allow those the most room if you're running short elsewhere.</w:t>
      </w:r>
    </w:p>
    <w:p>
      <w:pPr>
        <w:pStyle w:val="Heading1"/>
      </w:pPr>
      <w:r>
        <w:rPr>
          <w:rFonts w:ascii="Calibri" w:cs="Calibri" w:eastAsia="Calibri" w:hAnsi="Calibri"/>
        </w:rPr>
        <w:t xml:space="preserve">Before You Present: Coherence Checklist</w:t>
      </w:r>
    </w:p>
    <w:p>
      <w:pPr>
        <w:spacing w:after="160"/>
      </w:pPr>
      <w:r>
        <w:rPr>
          <w:rFonts w:ascii="Calibri" w:cs="Calibri" w:eastAsia="Calibri" w:hAnsi="Calibri"/>
          <w:b w:val="false"/>
          <w:bCs w:val="false"/>
          <w:i w:val="false"/>
          <w:iCs w:val="false"/>
          <w:sz w:val="22"/>
          <w:szCs w:val="22"/>
        </w:rPr>
        <w:t xml:space="preserve">While matching this script to the current deck, three inconsistencies surfaced that are worth resolving first — each is also flagged inline at the relevant slide below. Note that the earlier clustering-level and Python/R mismatches from the previous deck version are now resolved in v2 (Slide 9 correctly says region-level clustering with a wild bootstrap; Slide 12 correctly says the R doubleml package throughout).</w:t>
      </w:r>
    </w:p>
    <w:p>
      <w:pPr>
        <w:pStyle w:val="ListParagraph"/>
        <w:numPr>
          <w:ilvl w:val="0"/>
          <w:numId w:val="2"/>
        </w:numPr>
        <w:spacing w:after="80"/>
      </w:pPr>
      <w:r>
        <w:rPr>
          <w:rFonts w:ascii="Calibri" w:cs="Calibri" w:eastAsia="Calibri" w:hAnsi="Calibri"/>
          <w:sz w:val="22"/>
          <w:szCs w:val="22"/>
        </w:rPr>
        <w:t xml:space="preserve">Slide 7's two headline numbers don't reconcile: "50,967 child-year observations" sits directly next to "99,157 MDCH module observed" — a subset that's larger than its total. Identify which figure is stale and correct it before presenting.</w:t>
      </w:r>
    </w:p>
    <w:p>
      <w:pPr>
        <w:pStyle w:val="ListParagraph"/>
        <w:numPr>
          <w:ilvl w:val="0"/>
          <w:numId w:val="2"/>
        </w:numPr>
        <w:spacing w:after="80"/>
      </w:pPr>
      <w:r>
        <w:rPr>
          <w:rFonts w:ascii="Calibri" w:cs="Calibri" w:eastAsia="Calibri" w:hAnsi="Calibri"/>
          <w:sz w:val="22"/>
          <w:szCs w:val="22"/>
        </w:rPr>
        <w:t xml:space="preserve">The MDCH item count is inconsistent: Slides 5, 6, and (now) 13 correctly say 10, but Slides 8 and 14 still say 12, and Slide 15 states both 10 and 12 on the same slide. Reconcile all of these to 10, which is what 03_did_replication.R's MDCH_ITEMS constant actually implements.</w:t>
      </w:r>
    </w:p>
    <w:p>
      <w:pPr>
        <w:pStyle w:val="ListParagraph"/>
        <w:numPr>
          <w:ilvl w:val="0"/>
          <w:numId w:val="2"/>
        </w:numPr>
        <w:spacing w:after="80"/>
      </w:pPr>
      <w:r>
        <w:rPr>
          <w:rFonts w:ascii="Calibri" w:cs="Calibri" w:eastAsia="Calibri" w:hAnsi="Calibri"/>
          <w:sz w:val="22"/>
          <w:szCs w:val="22"/>
        </w:rPr>
        <w:t xml:space="preserve">Slide 15's "Status" line ("analysis pipeline built and ready to run") is stale — Stage 1 already has real, completed results (Slide 11) and pre-trend diagnostics (Slide 10). Update it to reflect that Stage 1 is done and Stages 2–3 are the next steps.</w:t>
      </w:r>
    </w:p>
    <w:p>
      <w:pPr>
        <w:shd w:fill="E7F0FF" w:val="clear"/>
        <w:spacing w:after="200" w:before="80"/>
      </w:pPr>
      <w:r>
        <w:rPr>
          <w:rFonts w:ascii="Calibri" w:cs="Calibri" w:eastAsia="Calibri" w:hAnsi="Calibri"/>
          <w:i/>
          <w:iCs/>
          <w:color w:val="1F4E96"/>
          <w:sz w:val="20"/>
          <w:szCs w:val="20"/>
        </w:rPr>
        <w:t xml:space="preserve">→ On Slide 12 specifically: this isn't an error to fix, it's a deliberate choice to lead with the more explainable Chang (2020) framing. Just make sure you have the one-line Sant'Anna &amp; Zhao pivot ready (see Double ML Q&amp;A, D2) in case you're pressed on the exact estimating equation behind the numbers.</w:t>
      </w:r>
    </w:p>
    <w:p>
      <w:pPr>
        <w:pStyle w:val="Heading1"/>
      </w:pPr>
      <w:r>
        <w:rPr>
          <w:rFonts w:ascii="Calibri" w:cs="Calibri" w:eastAsia="Calibri" w:hAnsi="Calibri"/>
        </w:rPr>
        <w:t xml:space="preserve">Timing Overview</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900"/>
        <w:gridCol w:w="5500"/>
        <w:gridCol w:w="1200"/>
      </w:tblGrid>
      <w:tr>
        <w:trPr>
          <w:tblHeader/>
        </w:trPr>
        <w:tc>
          <w:tcPr>
            <w:tcW w:type="dxa" w:w="900"/>
            <w:tcBorders>
              <w:top w:val="single" w:color="CCCCCC" w:sz="1"/>
              <w:left w:val="single" w:color="CCCCCC" w:sz="1"/>
              <w:bottom w:val="single" w:color="CCCCCC" w:sz="1"/>
              <w:right w:val="single" w:color="CCCCCC" w:sz="1"/>
            </w:tcBorders>
            <w:shd w:fill="3B0064" w:val="clear"/>
            <w:tcMar>
              <w:top w:type="dxa" w:w="80"/>
              <w:left w:type="dxa" w:w="120"/>
              <w:bottom w:type="dxa" w:w="80"/>
              <w:right w:type="dxa" w:w="120"/>
            </w:tcMar>
            <w:vAlign w:val="center"/>
          </w:tcPr>
          <w:p>
            <w:r>
              <w:rPr>
                <w:rFonts w:ascii="Calibri" w:cs="Calibri" w:eastAsia="Calibri" w:hAnsi="Calibri"/>
                <w:b/>
                <w:bCs/>
                <w:sz w:val="20"/>
                <w:szCs w:val="20"/>
              </w:rPr>
              <w:t xml:space="preserve">Slide</w:t>
            </w:r>
          </w:p>
        </w:tc>
        <w:tc>
          <w:tcPr>
            <w:tcW w:type="dxa" w:w="5500"/>
            <w:tcBorders>
              <w:top w:val="single" w:color="CCCCCC" w:sz="1"/>
              <w:left w:val="single" w:color="CCCCCC" w:sz="1"/>
              <w:bottom w:val="single" w:color="CCCCCC" w:sz="1"/>
              <w:right w:val="single" w:color="CCCCCC" w:sz="1"/>
            </w:tcBorders>
            <w:shd w:fill="3B0064" w:val="clear"/>
            <w:tcMar>
              <w:top w:type="dxa" w:w="80"/>
              <w:left w:type="dxa" w:w="120"/>
              <w:bottom w:type="dxa" w:w="80"/>
              <w:right w:type="dxa" w:w="120"/>
            </w:tcMar>
            <w:vAlign w:val="center"/>
          </w:tcPr>
          <w:p>
            <w:r>
              <w:rPr>
                <w:rFonts w:ascii="Calibri" w:cs="Calibri" w:eastAsia="Calibri" w:hAnsi="Calibri"/>
                <w:b/>
                <w:bCs/>
                <w:sz w:val="20"/>
                <w:szCs w:val="20"/>
              </w:rPr>
              <w:t xml:space="preserve">Title</w:t>
            </w:r>
          </w:p>
        </w:tc>
        <w:tc>
          <w:tcPr>
            <w:tcW w:type="dxa" w:w="1200"/>
            <w:tcBorders>
              <w:top w:val="single" w:color="CCCCCC" w:sz="1"/>
              <w:left w:val="single" w:color="CCCCCC" w:sz="1"/>
              <w:bottom w:val="single" w:color="CCCCCC" w:sz="1"/>
              <w:right w:val="single" w:color="CCCCCC" w:sz="1"/>
            </w:tcBorders>
            <w:shd w:fill="3B0064" w:val="clear"/>
            <w:tcMar>
              <w:top w:type="dxa" w:w="80"/>
              <w:left w:type="dxa" w:w="120"/>
              <w:bottom w:type="dxa" w:w="80"/>
              <w:right w:type="dxa" w:w="120"/>
            </w:tcMar>
            <w:vAlign w:val="center"/>
          </w:tcPr>
          <w:p>
            <w:r>
              <w:rPr>
                <w:rFonts w:ascii="Calibri" w:cs="Calibri" w:eastAsia="Calibri" w:hAnsi="Calibri"/>
                <w:b/>
                <w:bCs/>
                <w:sz w:val="20"/>
                <w:szCs w:val="20"/>
              </w:rPr>
              <w:t xml:space="preserve">Time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Title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0:30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2</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Motivation &amp; Research Question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1:30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3</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Policy Background: The Scottish Child Payment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1:15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4</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Existing Literature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1:45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5</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Data: HBAI Individual Microdata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1:15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6</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Deprivation Variables: 10 Binary MDCH Indicators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0:45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7</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Sample Statistics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1:15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8</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Methodology: Three-Stage Design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0:45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9</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Stage 1: Benchmark DiD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1:45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10</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Pre-Treatment Parallel Trends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2:00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Benchmark DiD: Initial Results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2:00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12</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Stage 2: Double Machine Learning DiD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2:15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13</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Stage 3: Item-Level Decomposition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1:30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14</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Anticipated Issues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1:15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15</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Summary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0"/>
                <w:szCs w:val="20"/>
              </w:rPr>
              <w:t xml:space="preserve">1:00</w:t>
            </w:r>
          </w:p>
        </w:tc>
      </w:tr>
    </w:tbl>
    <w:p>
      <w:pPr>
        <w:spacing w:after="200" w:before="200"/>
      </w:pPr>
      <w:r>
        <w:rPr>
          <w:rFonts w:ascii="Calibri" w:cs="Calibri" w:eastAsia="Calibri" w:hAnsi="Calibri"/>
          <w:b/>
          <w:bCs/>
          <w:sz w:val="20"/>
          <w:szCs w:val="20"/>
        </w:rPr>
        <w:t xml:space="preserve">Total: ~20 minutes</w:t>
      </w:r>
    </w:p>
    <w:p>
      <w:pPr>
        <w:pageBreakBefore/>
      </w:pPr>
    </w:p>
    <w:p>
      <w:pPr>
        <w:pStyle w:val="Heading1"/>
      </w:pPr>
      <w:r>
        <w:rPr>
          <w:rFonts w:ascii="Calibri" w:cs="Calibri" w:eastAsia="Calibri" w:hAnsi="Calibri"/>
        </w:rPr>
        <w:t xml:space="preserve">Full Script</w:t>
      </w:r>
    </w:p>
    <w:p>
      <w:pPr>
        <w:pStyle w:val="Heading2"/>
      </w:pPr>
      <w:r>
        <w:rPr>
          <w:rFonts w:ascii="Calibri" w:cs="Calibri" w:eastAsia="Calibri" w:hAnsi="Calibri"/>
        </w:rPr>
        <w:t xml:space="preserve">Slide 1 — Title  [0:30]</w:t>
      </w:r>
    </w:p>
    <w:p>
      <w:pPr>
        <w:spacing w:after="160"/>
      </w:pPr>
      <w:r>
        <w:rPr>
          <w:rFonts w:ascii="Calibri" w:cs="Calibri" w:eastAsia="Calibri" w:hAnsi="Calibri"/>
          <w:b w:val="false"/>
          <w:bCs w:val="false"/>
          <w:i w:val="false"/>
          <w:iCs w:val="false"/>
          <w:sz w:val="22"/>
          <w:szCs w:val="22"/>
        </w:rPr>
        <w:t xml:space="preserve">Good afternoon, I'm Guy Pigott, and today I'm presenting my MSc dissertation: "Which Dimensions of Child Deprivation Does the Scottish Child Payment Reduce? Evidence from Double Machine Learning Difference-in-Differences." The short answer, which I'll build up to, is that it isn't all dimensions equally — SCP moves some kinds of hardship and not others. I use HBAI microdata from 2016/17 to 2023/24 and a DML-DiD approach. This is about twenty minutes; I'll take questions at the end.</w:t>
      </w:r>
    </w:p>
    <w:p>
      <w:pPr>
        <w:pStyle w:val="Heading2"/>
      </w:pPr>
      <w:r>
        <w:rPr>
          <w:rFonts w:ascii="Calibri" w:cs="Calibri" w:eastAsia="Calibri" w:hAnsi="Calibri"/>
        </w:rPr>
        <w:t xml:space="preserve">Slide 2 — Motivation &amp; Research Question  [1:30]</w:t>
      </w:r>
    </w:p>
    <w:p>
      <w:pPr>
        <w:spacing w:after="160"/>
      </w:pPr>
      <w:r>
        <w:rPr>
          <w:rFonts w:ascii="Calibri" w:cs="Calibri" w:eastAsia="Calibri" w:hAnsi="Calibri"/>
          <w:b w:val="false"/>
          <w:bCs w:val="false"/>
          <w:i w:val="false"/>
          <w:iCs w:val="false"/>
          <w:sz w:val="22"/>
          <w:szCs w:val="22"/>
        </w:rPr>
        <w:t xml:space="preserve">Why this matters: the Scottish Child Payment now pays £25 a week per eligible child — the largest devolved social security innovation since 2016. The Scottish Government's own 2024 evaluation is largely self-reported, and it explicitly calls for more objective evidence. On the academic side, the CASE/LSE 2025 paper by Stewart and colleagues gives a rigorous difference-in-differences estimate — but on composite deprivation outcomes, with linear controls. What nobody has asked is whether the choice of hardship measure itself changes the estimated effect: does SCP move every dimension of deprivation equally, or does it concentrate on some and not others? That's my research question — which dimensions of child material deprivation does SCP reduce, and is that robust to flexible covariate adjustment? Three contributions follow from that: an item-level decomposition across ten binary MDCH indicators rather than just the composite; a DML-DiD versus linear DiD robustness check, to test whether the CASE paper's linear functional form is doing any work; and a measurement-error framework for interpreting differences between those two.</w:t>
      </w:r>
    </w:p>
    <w:p>
      <w:pPr>
        <w:pStyle w:val="Heading2"/>
      </w:pPr>
      <w:r>
        <w:rPr>
          <w:rFonts w:ascii="Calibri" w:cs="Calibri" w:eastAsia="Calibri" w:hAnsi="Calibri"/>
        </w:rPr>
        <w:t xml:space="preserve">Slide 3 — Policy Background: The Scottish Child Payment  [1:15]</w:t>
      </w:r>
    </w:p>
    <w:p>
      <w:pPr>
        <w:spacing w:after="160"/>
      </w:pPr>
      <w:r>
        <w:rPr>
          <w:rFonts w:ascii="Calibri" w:cs="Calibri" w:eastAsia="Calibri" w:hAnsi="Calibri"/>
          <w:b w:val="false"/>
          <w:bCs w:val="false"/>
          <w:i w:val="false"/>
          <w:iCs w:val="false"/>
          <w:sz w:val="22"/>
          <w:szCs w:val="22"/>
        </w:rPr>
        <w:t xml:space="preserve">The rollout timeline is central to my identification strategy. February 2021: £10 a week for children under six, delivered through Universal Credit and legacy benefits, reaching around 100,000 children. April 2022: doubled to £20, with eligibility unchanged. November 2022 — the major expansion — extended to all under-16s and increased again to £25 a week, reaching about 300,000 children. By 2024/25 it's £26.70, uprated with inflation, and currently £27.15. The key identification feature is that this staggered rollout is Scotland-only: England received no equivalent payment across this whole period, while both countries are surveyed identically in HBAI.</w:t>
      </w:r>
    </w:p>
    <w:p>
      <w:pPr>
        <w:pStyle w:val="Heading2"/>
      </w:pPr>
      <w:r>
        <w:rPr>
          <w:rFonts w:ascii="Calibri" w:cs="Calibri" w:eastAsia="Calibri" w:hAnsi="Calibri"/>
        </w:rPr>
        <w:t xml:space="preserve">Slide 4 — Existing Literature  [1:45]</w:t>
      </w:r>
    </w:p>
    <w:p>
      <w:pPr>
        <w:spacing w:after="160"/>
      </w:pPr>
      <w:r>
        <w:rPr>
          <w:rFonts w:ascii="Calibri" w:cs="Calibri" w:eastAsia="Calibri" w:hAnsi="Calibri"/>
          <w:b w:val="false"/>
          <w:bCs w:val="false"/>
          <w:i w:val="false"/>
          <w:iCs w:val="false"/>
          <w:sz w:val="22"/>
          <w:szCs w:val="22"/>
        </w:rPr>
        <w:t xml:space="preserve">Three literatures motivate this design. On SCP evaluations: the Scottish Government's 2024 self-report evaluation, Stewart et al.'s CASE 2025 paper, and Nesom, Stewart and Tominey's IFS 2025 work — all valuable, but none decompose effects by deprivation item, which is my gap.</w:t>
      </w:r>
    </w:p>
    <w:p>
      <w:pPr>
        <w:spacing w:after="160"/>
      </w:pPr>
      <w:r>
        <w:rPr>
          <w:rFonts w:ascii="Calibri" w:cs="Calibri" w:eastAsia="Calibri" w:hAnsi="Calibri"/>
          <w:b w:val="false"/>
          <w:bCs w:val="false"/>
          <w:i w:val="false"/>
          <w:iCs w:val="false"/>
          <w:sz w:val="22"/>
          <w:szCs w:val="22"/>
        </w:rPr>
        <w:t xml:space="preserve">On hardship measurement, three works shape how I think about the outcome itself. Townsend's foundational 1979 work argues that deprivation should be understood relative to the standard of living a society actually has at a given time, not against some fixed absolute income line — that's the conceptual case for using material-deprivation items, like whether a child has a coat or can go on a school trip, as the outcome, rather than relying on income alone. Almada, McCarthy and Tchernis (2015) show that misreported benefit receipt specifically biases treatment-effect estimates in transfer-program evaluations — directly relevant here, since HBAI, like most survey data, relies on self-reported benefit receipt as a covariate. And Manski's (1990) partial identification framework is my fallback if classical measurement-error assumptions don't hold: rather than forcing out a possibly-biased point estimate, his approach bounds the treatment effect within an interval consistent with the data — this is what I'd reach for if Stage 3's measurement-error diagnostics suggest a real problem rather than a manageable caveat.</w:t>
      </w:r>
    </w:p>
    <w:p>
      <w:pPr>
        <w:spacing w:after="160"/>
      </w:pPr>
      <w:r>
        <w:rPr>
          <w:rFonts w:ascii="Calibri" w:cs="Calibri" w:eastAsia="Calibri" w:hAnsi="Calibri"/>
          <w:b w:val="false"/>
          <w:bCs w:val="false"/>
          <w:i w:val="false"/>
          <w:iCs w:val="false"/>
          <w:sz w:val="22"/>
          <w:szCs w:val="22"/>
        </w:rPr>
        <w:t xml:space="preserve">On causal DiD methods: Roth et al.'s 2023 synthesis pulls together the post-credibility-revolution literature on modern DiD practice — things like how staggered treatment timing can generate negative weighting in naive two-way fixed effects estimates, and better practice for testing parallel trends, both of which inform how I've approached my own design. Sant'Anna and Zhao's (2020) doubly robust DiD estimator is the closely related sibling to my Stage 2 method, consistent if either the outcome model or the propensity model is correctly specified. Chernozhukov et al.'s (2018) double machine learning framework is the general recipe — Neyman orthogonality plus cross-fitting to get valid inference on a low-dimensional parameter even when nuisance functions are estimated by flexible ML — and Chang's (2020) paper is the direct extension of that general recipe specifically to difference-in-differences, which is the direct foundation for my Stage 2.</w:t>
      </w:r>
    </w:p>
    <w:p>
      <w:pPr>
        <w:pStyle w:val="Heading2"/>
      </w:pPr>
      <w:r>
        <w:rPr>
          <w:rFonts w:ascii="Calibri" w:cs="Calibri" w:eastAsia="Calibri" w:hAnsi="Calibri"/>
        </w:rPr>
        <w:t xml:space="preserve">Slide 5 — Data: HBAI Individual Microdata  [1:15]</w:t>
      </w:r>
    </w:p>
    <w:p>
      <w:pPr>
        <w:spacing w:after="160"/>
      </w:pPr>
      <w:r>
        <w:rPr>
          <w:rFonts w:ascii="Calibri" w:cs="Calibri" w:eastAsia="Calibri" w:hAnsi="Calibri"/>
          <w:b w:val="false"/>
          <w:bCs w:val="false"/>
          <w:i w:val="false"/>
          <w:iCs w:val="false"/>
          <w:sz w:val="22"/>
          <w:szCs w:val="22"/>
        </w:rPr>
        <w:t xml:space="preserve">The data is HBAI harmonised individual-level microdata, stacked across survey years and expressed in constant prices. Sample restrictions: Scotland and England only — Wales and Northern Ireland don't give a comparable treatment/control structure here — children aged 16 and under, matching SCP eligibility, and years 2016/17 through 2023/24, excluding both 2020/21 for COVID survey disruption and 2024/25. The core outcome is the ten binary MDCH deprivation indicators, which I'll go through on the next slide, plus the official DWP MDCH flag as a validation check. For Stage 2's DML covariates, rather than list all twenty individually, the summary is: demographics, disability, income, benefits, housing costs and earnings, plus tenure, employment status, region and year fixed effects.</w:t>
      </w:r>
    </w:p>
    <w:p>
      <w:pPr>
        <w:pStyle w:val="Heading2"/>
      </w:pPr>
      <w:r>
        <w:rPr>
          <w:rFonts w:ascii="Calibri" w:cs="Calibri" w:eastAsia="Calibri" w:hAnsi="Calibri"/>
        </w:rPr>
        <w:t xml:space="preserve">Slide 6 — Deprivation Variables: 10 Binary MDCH Indicators  [0:45]</w:t>
      </w:r>
    </w:p>
    <w:p>
      <w:pPr>
        <w:spacing w:after="160"/>
      </w:pPr>
      <w:r>
        <w:rPr>
          <w:rFonts w:ascii="Calibri" w:cs="Calibri" w:eastAsia="Calibri" w:hAnsi="Calibri"/>
          <w:b w:val="false"/>
          <w:bCs w:val="false"/>
          <w:i w:val="false"/>
          <w:iCs w:val="false"/>
          <w:sz w:val="22"/>
          <w:szCs w:val="22"/>
        </w:rPr>
        <w:t xml:space="preserve">Here are the ten items that make up the MDCH module: having your own bed or bedroom, celebrations on special occasions, a warm winter coat, school equipment, an annual holiday away from home, indoor play space, outdoor play space, fresh fruit and vegetables — split across two related items — and trips or outings. Each item's raw HBAI response is coded 1 if the family has it, which I recode to 0, not deprived, and 2 if they want or need it but can't afford it, which I recode to 1, deprived. Everything else — including a raw code of 3, meaning the family says they don't want or need it, plus the standard non-response codes — is treated as missing rather than folded into either category, since that response doesn't actually tell us whether the child is deprived of it. These ten feed both the official composite flag and my own item-level decomposition in Stage 3.</w:t>
      </w:r>
    </w:p>
    <w:p>
      <w:pPr>
        <w:pStyle w:val="Heading2"/>
      </w:pPr>
      <w:r>
        <w:rPr>
          <w:rFonts w:ascii="Calibri" w:cs="Calibri" w:eastAsia="Calibri" w:hAnsi="Calibri"/>
        </w:rPr>
        <w:t xml:space="preserve">Slide 7 — Sample Statistics  [1:15]</w:t>
      </w:r>
    </w:p>
    <w:p>
      <w:pPr>
        <w:spacing w:after="160"/>
      </w:pPr>
      <w:r>
        <w:rPr>
          <w:rFonts w:ascii="Calibri" w:cs="Calibri" w:eastAsia="Calibri" w:hAnsi="Calibri"/>
          <w:b w:val="false"/>
          <w:bCs w:val="false"/>
          <w:i w:val="false"/>
          <w:iCs w:val="false"/>
          <w:sz w:val="22"/>
          <w:szCs w:val="22"/>
        </w:rPr>
        <w:t xml:space="preserve">In terms of scale: just under 51,000 child-year observations across seven survey years, 2016/17 to 2023/24 excluding 2020/21. Of those, roughly 6,090 are Scotland — the treated group — and 44,877 are England, the control, so England is a much larger comparison group by construction. Looking at background characteristics by country: child material deprivation is already somewhat higher in England before treatment, 0.15 versus 0.205; food insecurity 0.135 versus 0.151; larger families 0.252 versus 0.32; disabled-household rate 0.365 versus 0.34; and England has a notably lower share of white households, 0.918 versus 0.766. These baseline differences are exactly why I control for household composition and demographics rather than relying on a raw comparison of means.</w:t>
      </w:r>
    </w:p>
    <w:p>
      <w:pPr>
        <w:shd w:fill="FFF3CD" w:val="clear"/>
        <w:spacing w:after="200" w:before="80"/>
      </w:pPr>
      <w:r>
        <w:rPr>
          <w:rFonts w:ascii="Calibri" w:cs="Calibri" w:eastAsia="Calibri" w:hAnsi="Calibri"/>
          <w:i/>
          <w:iCs/>
          <w:color w:val="7A5B00"/>
          <w:sz w:val="20"/>
          <w:szCs w:val="20"/>
        </w:rPr>
        <w:t xml:space="preserve">⚠ Slide 7 shows two headline figures that don't reconcile: "50,967 child-year observations" and, directly next to it, "99,157 MDCH module observed" — the second number is larger than the first, which shouldn't be possible for a subset. Check which of the two is stale (likely a leftover from an earlier, unrestricted pull) and correct it before presenting — an examiner doing basic arithmetic on your own slide will catch this immediately.</w:t>
      </w:r>
    </w:p>
    <w:p>
      <w:pPr>
        <w:pStyle w:val="Heading2"/>
      </w:pPr>
      <w:r>
        <w:rPr>
          <w:rFonts w:ascii="Calibri" w:cs="Calibri" w:eastAsia="Calibri" w:hAnsi="Calibri"/>
        </w:rPr>
        <w:t xml:space="preserve">Slide 8 — Methodology: Three-Stage Design  [0:45]</w:t>
      </w:r>
    </w:p>
    <w:p>
      <w:pPr>
        <w:spacing w:after="160"/>
      </w:pPr>
      <w:r>
        <w:rPr>
          <w:rFonts w:ascii="Calibri" w:cs="Calibri" w:eastAsia="Calibri" w:hAnsi="Calibri"/>
          <w:b w:val="false"/>
          <w:bCs w:val="false"/>
          <w:i w:val="false"/>
          <w:iCs w:val="false"/>
          <w:sz w:val="22"/>
          <w:szCs w:val="22"/>
        </w:rPr>
        <w:t xml:space="preserve">My empirical strategy has three stages, kept deliberately simple on this slide since I'll walk through each in detail. Stage one: a benchmark linear DiD replicating Stewart et al.'s design on the composite outcomes — this validates my pipeline against a known result before anything novel. Stage two: the same outcomes, but with ML-flexible covariate adjustment following Chang (2020) — a clean like-for-like comparison against stage one. Stage three: DML-DiD applied to each MDCH item separately, with FDR correction for the resulting multiple-testing problem — this is where I actually answer my research question.</w:t>
      </w:r>
    </w:p>
    <w:p>
      <w:pPr>
        <w:shd w:fill="FFF3CD" w:val="clear"/>
        <w:spacing w:after="200" w:before="80"/>
      </w:pPr>
      <w:r>
        <w:rPr>
          <w:rFonts w:ascii="Calibri" w:cs="Calibri" w:eastAsia="Calibri" w:hAnsi="Calibri"/>
          <w:i/>
          <w:iCs/>
          <w:color w:val="7A5B00"/>
          <w:sz w:val="20"/>
          <w:szCs w:val="20"/>
        </w:rPr>
        <w:t xml:space="preserve">⚠ This slide's Stage 3 card still says "12 MDCH items" — inconsistent with the 10-item count established on Slides 5 and 6. This is one instance of a count inconsistency that also appears on Slides 13 and 15 — see the coherence checklist below for the full list.</w:t>
      </w:r>
    </w:p>
    <w:p>
      <w:pPr>
        <w:pStyle w:val="Heading2"/>
      </w:pPr>
      <w:r>
        <w:rPr>
          <w:rFonts w:ascii="Calibri" w:cs="Calibri" w:eastAsia="Calibri" w:hAnsi="Calibri"/>
        </w:rPr>
        <w:t xml:space="preserve">Slide 9 — Stage 1: Benchmark DiD  [1:45]</w:t>
      </w:r>
    </w:p>
    <w:p>
      <w:pPr>
        <w:spacing w:after="160"/>
      </w:pPr>
      <w:r>
        <w:rPr>
          <w:rFonts w:ascii="Calibri" w:cs="Calibri" w:eastAsia="Calibri" w:hAnsi="Calibri"/>
          <w:b w:val="false"/>
          <w:bCs w:val="false"/>
          <w:i w:val="false"/>
          <w:iCs w:val="false"/>
          <w:sz w:val="22"/>
          <w:szCs w:val="22"/>
        </w:rPr>
        <w:t xml:space="preserve">Zooming into stage one's specification: the outcome is regressed on Scotland times Post, plus controls for income, family type, tenure, number of children and age, with year fixed effects absorbing common UK-wide macro shocks. Standard errors are clustered at regional level using GVTREGN, following Bertrand, Duflo and Mullainathan's classic warning about serial correlation in DiD designs — and because the number of regional clusters is small, I use a wild bootstrap on top of that, rather than relying on standard asymptotic cluster-robust inference, which can be unreliable with few clusters. On why this is a valid quasi-experiment: SCP is Scotland-only, so England genuinely didn't receive an equivalent payment in this period; both countries are surveyed identically in HBAI, so there's no measurement discontinuity between treatment and control; and the staggered rollout gives me two separate waves of variation to check the design against, not just one.</w:t>
      </w:r>
    </w:p>
    <w:p>
      <w:pPr>
        <w:pStyle w:val="Heading2"/>
      </w:pPr>
      <w:r>
        <w:rPr>
          <w:rFonts w:ascii="Calibri" w:cs="Calibri" w:eastAsia="Calibri" w:hAnsi="Calibri"/>
        </w:rPr>
        <w:t xml:space="preserve">Slide 10 — Pre-Treatment Parallel Trends  [2:00]</w:t>
      </w:r>
    </w:p>
    <w:p>
      <w:pPr>
        <w:spacing w:after="160"/>
      </w:pPr>
      <w:r>
        <w:rPr>
          <w:rFonts w:ascii="Calibri" w:cs="Calibri" w:eastAsia="Calibri" w:hAnsi="Calibri"/>
          <w:b w:val="false"/>
          <w:bCs w:val="false"/>
          <w:i w:val="false"/>
          <w:iCs w:val="false"/>
          <w:sz w:val="22"/>
          <w:szCs w:val="22"/>
        </w:rPr>
        <w:t xml:space="preserve">Before trusting any DiD estimate, I check the identifying assumption directly, year by year, with and without controls. The joint pre-trend Wald test does raise a flag: unadjusted p equals 0.004, adjusted p equals 0.034 — Benjamini-Hochberg adjusted values of 0.005 and 0.040. Here's how I deal with that. Individually, none of the pre-2022 year coefficients are significant once controls are added — the flagged joint test is being driven by the pattern across years jointly, not by any one year clearly diverging. I report the covariate-adjusted specification as preferred, following Abadie (2005) on how conditioning makes parallel trends more credible, and I disclose this test openly rather than hide it. I'd also note that with around 6,000 Scottish observations against 45,000 English ones, these joint pre-trend tests are underpowered by construction — a point Roth (2022) makes generally about DiD pre-trend testing — so a marginally flagged joint test alongside insignificant individual-year coefficients is a caveat I flag, not a reason to abandon the design.</w:t>
      </w:r>
    </w:p>
    <w:p>
      <w:pPr>
        <w:pStyle w:val="Heading2"/>
      </w:pPr>
      <w:r>
        <w:rPr>
          <w:rFonts w:ascii="Calibri" w:cs="Calibri" w:eastAsia="Calibri" w:hAnsi="Calibri"/>
        </w:rPr>
        <w:t xml:space="preserve">Slide 11 — Benchmark DiD: Initial Results  [2:00]</w:t>
      </w:r>
    </w:p>
    <w:p>
      <w:pPr>
        <w:spacing w:after="160"/>
      </w:pPr>
      <w:r>
        <w:rPr>
          <w:rFonts w:ascii="Calibri" w:cs="Calibri" w:eastAsia="Calibri" w:hAnsi="Calibri"/>
          <w:b w:val="false"/>
          <w:bCs w:val="false"/>
          <w:i w:val="false"/>
          <w:iCs w:val="false"/>
          <w:sz w:val="22"/>
          <w:szCs w:val="22"/>
        </w:rPr>
        <w:t xml:space="preserve">So what does stage one actually find? Unadjusted, SCP is associated with a 3.87 percentage point reduction in any deprivation and a 4.80 point reduction in the official MDCH flag, both significant at 1%. Adding controls increases those to 5.06 and 5.16 points respectively. Deprivation count also falls significantly — 6.13 points unadjusted, 8.39 points adjusted — but severe deprivation, three or more items, shows essentially no effect in either specification, with coefficients close to zero and not statistically significant. That's an important early signal: SCP appears to be moving families out of mild-to-moderate deprivation, not out of the most entrenched, severe cases. And the fact that covariate adjustment barely moves the official-flag estimate is reassuring — it suggests the controls aren't simply picking up compositional differences between Scotland and England rather than a real treatment effect. This is on a sample of 46,941 observations for the item-level outcomes and 50,964 for the official flag.</w:t>
      </w:r>
    </w:p>
    <w:p>
      <w:pPr>
        <w:pStyle w:val="Heading2"/>
      </w:pPr>
      <w:r>
        <w:rPr>
          <w:rFonts w:ascii="Calibri" w:cs="Calibri" w:eastAsia="Calibri" w:hAnsi="Calibri"/>
        </w:rPr>
        <w:t xml:space="preserve">Slide 12 — Stage 2: Double Machine Learning DiD  [2:15]</w:t>
      </w:r>
    </w:p>
    <w:p>
      <w:pPr>
        <w:spacing w:after="160"/>
      </w:pPr>
      <w:r>
        <w:rPr>
          <w:rFonts w:ascii="Calibri" w:cs="Calibri" w:eastAsia="Calibri" w:hAnsi="Calibri"/>
          <w:b w:val="false"/>
          <w:bCs w:val="false"/>
          <w:i w:val="false"/>
          <w:iCs w:val="false"/>
          <w:sz w:val="22"/>
          <w:szCs w:val="22"/>
        </w:rPr>
        <w:t xml:space="preserve">Why go to the trouble of DML rather than trusting the linear model? Because linear controls assume additive, separable effects, and that's a strong assumption here — income and family type plausibly interact in how they relate to deprivation, and a linear model can't discover that on its own. DML estimates the nuisance functions f(X) and g(X) flexibly using lasso and random forest, and the reason this still gives valid inference, despite ML normally carrying regularisation bias, is Neyman orthogonality combined with cross-fitting. Following Chang (2020): I split the data into five folds; partial out the outcome, Y-tilde equals Y minus f-hat of X, using lasso and random forest; partial out the treatment the same way, D-tilde equals D minus g-hat of X; and then estimate delta by OLS of the residualised outcome on the residualised treatment — which yields an orthogonal, low-bias ATT estimate. This is directly comparable to stage one: same outcomes, same data, just a more flexible way of handling the covariates. Implementation is via R's doubleml package, Bach et al. (2022).</w:t>
      </w:r>
    </w:p>
    <w:p>
      <w:pPr>
        <w:shd w:fill="FFF3CD" w:val="clear"/>
        <w:spacing w:after="200" w:before="80"/>
      </w:pPr>
      <w:r>
        <w:rPr>
          <w:rFonts w:ascii="Calibri" w:cs="Calibri" w:eastAsia="Calibri" w:hAnsi="Calibri"/>
          <w:i/>
          <w:iCs/>
          <w:color w:val="7A5B00"/>
          <w:sz w:val="20"/>
          <w:szCs w:val="20"/>
        </w:rPr>
        <w:t xml:space="preserve">⚠ The slide leads with Chang (2020)'s partialling-out framing, which is the clearer story to tell live. The underlying R code (04_dml_did.R) actually calls DoubleMLDID with score="observational", which is Sant'Anna &amp; Zhao's (2020) doubly robust AIPW-style moment rather than Chang's literal partialling-out equation — a deliberate choice to lead with the more explainable framing. Have a one-line pivot ready in case an examiner presses on the exact estimating equation: "the slide leads with Chang's partialling-out intuition; the software implements Sant'Anna &amp; Zhao's closely related doubly robust score — both are Neyman-orthogonal and consistent under similar conditions." See the Double ML Q&amp;A appendix (D1–D2) for the fuller version of this answer.</w:t>
      </w:r>
    </w:p>
    <w:p>
      <w:pPr>
        <w:pStyle w:val="Heading2"/>
      </w:pPr>
      <w:r>
        <w:rPr>
          <w:rFonts w:ascii="Calibri" w:cs="Calibri" w:eastAsia="Calibri" w:hAnsi="Calibri"/>
        </w:rPr>
        <w:t xml:space="preserve">Slide 13 — Stage 3: Item-Level Decomposition  [1:30]</w:t>
      </w:r>
    </w:p>
    <w:p>
      <w:pPr>
        <w:spacing w:after="160"/>
      </w:pPr>
      <w:r>
        <w:rPr>
          <w:rFonts w:ascii="Calibri" w:cs="Calibri" w:eastAsia="Calibri" w:hAnsi="Calibri"/>
          <w:b w:val="false"/>
          <w:bCs w:val="false"/>
          <w:i w:val="false"/>
          <w:iCs w:val="false"/>
          <w:sz w:val="22"/>
          <w:szCs w:val="22"/>
        </w:rPr>
        <w:t xml:space="preserve">Stage three exists to answer my research question directly: not just whether SCP reduces deprivation overall, but which specific dimensions it moves. Composite outcomes from Stages 1 and 2 can mask this — an effect concentrated on, say, having a warm coat could get diluted once averaged into a ten-item composite. So here I re-estimate the same DML-DiD approach separately for each of the ten MDCH items. That immediately creates a multiple-testing problem: I'm not running one confirmatory test, I'm screening across ten simultaneous tests, and without correction you'd expect roughly 0.6 false positives by chance alone at the 5% level. My approach is Benjamini-Hochberg false discovery rate correction: rank the ten item p-values, and require each one to fall below its rank divided by ten, times alpha, rather than judging every item against a flat 5% threshold — this controls the expected proportion of false discoveries across the whole screening exercise, which is the right error rate when the goal is discovery rather than a single pre-registered hypothesis. One secondary lens on top of this: composites partly cancel measurement noise by averaging across items, but item-level results don't get that benefit — so if effects show up on objective items like a coat or a bed but not subjective ones like food security, that's suggestive of a reporting-behaviour "awareness effect" rather than only real hardship change. I want to be upfront that this design can't fully distinguish those two stories on its own; it's an interpretive lens for reading the pattern of results, not something this stage formally tests.</w:t>
      </w:r>
    </w:p>
    <w:p>
      <w:pPr>
        <w:pStyle w:val="Heading2"/>
      </w:pPr>
      <w:r>
        <w:rPr>
          <w:rFonts w:ascii="Calibri" w:cs="Calibri" w:eastAsia="Calibri" w:hAnsi="Calibri"/>
        </w:rPr>
        <w:t xml:space="preserve">Slide 14 — Anticipated Issues  [1:15]</w:t>
      </w:r>
    </w:p>
    <w:p>
      <w:pPr>
        <w:spacing w:after="160"/>
      </w:pPr>
      <w:r>
        <w:rPr>
          <w:rFonts w:ascii="Calibri" w:cs="Calibri" w:eastAsia="Calibri" w:hAnsi="Calibri"/>
          <w:b w:val="false"/>
          <w:bCs w:val="false"/>
          <w:i w:val="false"/>
          <w:iCs w:val="false"/>
          <w:sz w:val="22"/>
          <w:szCs w:val="22"/>
        </w:rPr>
        <w:t xml:space="preserve">Four threats to this design, which I'd rather raise myself than have raised for me. First, low risk: BSG and Best Start Foods bundling — from November 2022, other Scottish grants became automatically available alongside SCP, so the DiD could in principle capture a package of benefits rather than SCP alone. Second, moderate risk: the staggered rollout itself — around 100,000 under-6s were already receiving SCP by the time of the November 2022 expansion I use as my main cutoff, which is not a small contamination. My response is to restrict the main sample to ages 6 to 15, and to explore Callaway-Sant'Anna's ATT(g,t) framework as an extension for handling the staggering directly — though I'd flag that since I already exclude 2020/21 for COVID, and the February 2021 rollout falls inside that excluded year, a Callaway-Sant'Anna extension using that exact rollout cohort has a genuine data gap to work around, not just an implementation cost. Third, low risk: DWP revised the MDCH questions in 2023/24; I tested this directly — old-versus-new question wording is not significantly different across countries, chi-square p equals 0.36 — supporting non-differential treatment of the revision. Fourth, moderate risk: multiple testing across simultaneous item tests, addressed via BH-FDR, and a labour market channel through Universal Credit tapering, where existing work finds no aggregate effect; pre-trends also show some individual covariates diverging, which I account for in the adjusted specification.</w:t>
      </w:r>
    </w:p>
    <w:p>
      <w:pPr>
        <w:shd w:fill="FFF3CD" w:val="clear"/>
        <w:spacing w:after="200" w:before="80"/>
      </w:pPr>
      <w:r>
        <w:rPr>
          <w:rFonts w:ascii="Calibri" w:cs="Calibri" w:eastAsia="Calibri" w:hAnsi="Calibri"/>
          <w:i/>
          <w:iCs/>
          <w:color w:val="7A5B00"/>
          <w:sz w:val="20"/>
          <w:szCs w:val="20"/>
        </w:rPr>
        <w:t xml:space="preserve">⚠ This slide's multiple-testing bullet says "(12 items)", inconsistent with the 10-item count used elsewhere. See the coherence checklist.</w:t>
      </w:r>
    </w:p>
    <w:p>
      <w:pPr>
        <w:pStyle w:val="Heading2"/>
      </w:pPr>
      <w:r>
        <w:rPr>
          <w:rFonts w:ascii="Calibri" w:cs="Calibri" w:eastAsia="Calibri" w:hAnsi="Calibri"/>
        </w:rPr>
        <w:t xml:space="preserve">Slide 15 — Summary  [1:00]</w:t>
      </w:r>
    </w:p>
    <w:p>
      <w:pPr>
        <w:spacing w:after="160"/>
      </w:pPr>
      <w:r>
        <w:rPr>
          <w:rFonts w:ascii="Calibri" w:cs="Calibri" w:eastAsia="Calibri" w:hAnsi="Calibri"/>
          <w:b w:val="false"/>
          <w:bCs w:val="false"/>
          <w:i w:val="false"/>
          <w:iCs w:val="false"/>
          <w:sz w:val="22"/>
          <w:szCs w:val="22"/>
        </w:rPr>
        <w:t xml:space="preserve">To summarise. The question: which dimensions of child material deprivation does the £25 Scottish Child Payment reduce. The data: around 50,000 child-year observations with ten binary MDCH items. The method: DML-DiD following Chang (2020), benchmarked against a linear DiD replication. The contribution: the first item-level causal decomposition of SCP effects, a robustness test of linear versus DML adjustment, and a measurement-error framework for interpreting differences between them. Where things stand: Stage 1's benchmark results are complete and I've walked you through them; Stage 2 and Stage 3 are the natural next steps to finish the decomposition this framework is built for. Thank you — happy to take questions.</w:t>
      </w:r>
    </w:p>
    <w:p>
      <w:pPr>
        <w:shd w:fill="FFF3CD" w:val="clear"/>
        <w:spacing w:after="200" w:before="80"/>
      </w:pPr>
      <w:r>
        <w:rPr>
          <w:rFonts w:ascii="Calibri" w:cs="Calibri" w:eastAsia="Calibri" w:hAnsi="Calibri"/>
          <w:i/>
          <w:iCs/>
          <w:color w:val="7A5B00"/>
          <w:sz w:val="20"/>
          <w:szCs w:val="20"/>
        </w:rPr>
        <w:t xml:space="preserve">⚠ Two things to fix on this slide before presenting. First, the Contribution line says "12 MDCH dimensions" while the Data line on the same slide says "10 binary MDCH items" — a direct self-contradiction on one slide, the most visible instance of the 10-vs-12 inconsistency that also appears on Slides 8, 13 and 14. Second, the Status line still reads "analysis pipeline built and ready to run", which is stale: Stage 1 has real, complete results (Slide 11) and pre-trend diagnostics (Slide 10) already shown earlier in this same talk. The script above already speaks to the actual state of progress — update the on-slide text to match before you rely on reading it directly.</w:t>
      </w:r>
    </w:p>
    <w:p>
      <w:pPr>
        <w:pageBreakBefore/>
      </w:pPr>
    </w:p>
    <w:p>
      <w:pPr>
        <w:pStyle w:val="Heading1"/>
      </w:pPr>
      <w:r>
        <w:rPr>
          <w:rFonts w:ascii="Calibri" w:cs="Calibri" w:eastAsia="Calibri" w:hAnsi="Calibri"/>
        </w:rPr>
        <w:t xml:space="preserve">Anticipated Q&amp;A</w:t>
      </w:r>
    </w:p>
    <w:p>
      <w:pPr>
        <w:spacing w:after="160"/>
      </w:pPr>
      <w:r>
        <w:rPr>
          <w:rFonts w:ascii="Calibri" w:cs="Calibri" w:eastAsia="Calibri" w:hAnsi="Calibri"/>
          <w:b w:val="false"/>
          <w:bCs w:val="false"/>
          <w:i w:val="false"/>
          <w:iCs w:val="false"/>
          <w:sz w:val="22"/>
          <w:szCs w:val="22"/>
        </w:rPr>
        <w:t xml:space="preserve">Drawn from the diagnostic work behind this deck — these are the questions most likely to surface, since they're exactly the issues that came up while building and stress-testing the analysis.</w:t>
      </w:r>
    </w:p>
    <w:p>
      <w:pPr>
        <w:spacing w:after="60" w:before="200"/>
      </w:pPr>
      <w:r>
        <w:rPr>
          <w:rFonts w:ascii="Calibri" w:cs="Calibri" w:eastAsia="Calibri" w:hAnsi="Calibri"/>
          <w:b/>
          <w:bCs/>
          <w:sz w:val="22"/>
          <w:szCs w:val="22"/>
        </w:rPr>
        <w:t xml:space="preserve">Q1. Why do you include FYE2024 in your analysis when the MDCH measure was redesigned?</w:t>
      </w:r>
    </w:p>
    <w:p>
      <w:pPr>
        <w:spacing w:after="160"/>
      </w:pPr>
      <w:r>
        <w:rPr>
          <w:rFonts w:ascii="Calibri" w:cs="Calibri" w:eastAsia="Calibri" w:hAnsi="Calibri"/>
          <w:b w:val="false"/>
          <w:bCs w:val="false"/>
          <w:i w:val="false"/>
          <w:iCs w:val="false"/>
          <w:sz w:val="22"/>
          <w:szCs w:val="22"/>
        </w:rPr>
        <w:t xml:space="preserve">The redesign affects the 2024/25 HBAI dataset, which my extract doesn't include — my data tops out at FYE2023/24. FYE2024 in my data is on the same MDCH definition as every earlier year, so excluding it would just throw away a real year of post-treatment data for no reason.</w:t>
      </w:r>
    </w:p>
    <w:p>
      <w:pPr>
        <w:spacing w:after="60" w:before="200"/>
      </w:pPr>
      <w:r>
        <w:rPr>
          <w:rFonts w:ascii="Calibri" w:cs="Calibri" w:eastAsia="Calibri" w:hAnsi="Calibri"/>
          <w:b/>
          <w:bCs/>
          <w:sz w:val="22"/>
          <w:szCs w:val="22"/>
        </w:rPr>
        <w:t xml:space="preserve">Q2. Why use BENBU_UC_OR_EQUIV rather than BENBU_UC as your Universal Credit control?</w:t>
      </w:r>
    </w:p>
    <w:p>
      <w:pPr>
        <w:spacing w:after="160"/>
      </w:pPr>
      <w:r>
        <w:rPr>
          <w:rFonts w:ascii="Calibri" w:cs="Calibri" w:eastAsia="Calibri" w:hAnsi="Calibri"/>
          <w:b w:val="false"/>
          <w:bCs w:val="false"/>
          <w:i w:val="false"/>
          <w:iCs w:val="false"/>
          <w:sz w:val="22"/>
          <w:szCs w:val="22"/>
        </w:rPr>
        <w:t xml:space="preserve">Universal Credit didn't exist before FYE2018/19, so BENBU_UC is structurally missing pre-rollout — that's not random missingness, it's a rollout artifact. BENBU_UC_OR_EQUIV codes legacy-benefit receipt as the UC-equivalent for those years, giving full coverage without dropping a large chunk of the sample.</w:t>
      </w:r>
    </w:p>
    <w:p>
      <w:pPr>
        <w:spacing w:after="60" w:before="200"/>
      </w:pPr>
      <w:r>
        <w:rPr>
          <w:rFonts w:ascii="Calibri" w:cs="Calibri" w:eastAsia="Calibri" w:hAnsi="Calibri"/>
          <w:b/>
          <w:bCs/>
          <w:sz w:val="22"/>
          <w:szCs w:val="22"/>
        </w:rPr>
        <w:t xml:space="preserve">Q3. How do you know the 2023/24 MDCH question revision doesn't bias your DiD estimate?</w:t>
      </w:r>
    </w:p>
    <w:p>
      <w:pPr>
        <w:spacing w:after="160"/>
      </w:pPr>
      <w:r>
        <w:rPr>
          <w:rFonts w:ascii="Calibri" w:cs="Calibri" w:eastAsia="Calibri" w:hAnsi="Calibri"/>
          <w:b w:val="false"/>
          <w:bCs w:val="false"/>
          <w:i w:val="false"/>
          <w:iCs w:val="false"/>
          <w:sz w:val="22"/>
          <w:szCs w:val="22"/>
        </w:rPr>
        <w:t xml:space="preserve">I tested it directly rather than relying on DWP's stated design. Using whether the old-style items are present as an arm indicator, the old-questions rate is 28.5% in England versus 30.5% in Scotland — a chi-square test gives p=0.36, so there's no statistically significant difference in how the revision was distributed across the two countries. That supports treating the revision as non-differential, rather than just asserting it.</w:t>
      </w:r>
    </w:p>
    <w:p>
      <w:pPr>
        <w:spacing w:after="60" w:before="200"/>
      </w:pPr>
      <w:r>
        <w:rPr>
          <w:rFonts w:ascii="Calibri" w:cs="Calibri" w:eastAsia="Calibri" w:hAnsi="Calibri"/>
          <w:b/>
          <w:bCs/>
          <w:sz w:val="22"/>
          <w:szCs w:val="22"/>
        </w:rPr>
        <w:t xml:space="preserve">Q4. Only a small number of Scotland observations answered the old questions in FYE2024 — doesn't that undermine your item-level results for that year?</w:t>
      </w:r>
    </w:p>
    <w:p>
      <w:pPr>
        <w:spacing w:after="160"/>
      </w:pPr>
      <w:r>
        <w:rPr>
          <w:rFonts w:ascii="Calibri" w:cs="Calibri" w:eastAsia="Calibri" w:hAnsi="Calibri"/>
          <w:b w:val="false"/>
          <w:bCs w:val="false"/>
          <w:i w:val="false"/>
          <w:iCs w:val="false"/>
          <w:sz w:val="22"/>
          <w:szCs w:val="22"/>
        </w:rPr>
        <w:t xml:space="preserve">It does reduce precision specifically for FYE2024's contribution to the item-level and homemade-composite outcomes, since only the minority of that year's sample on old-style questions have item-level data — the official DWP MDCH flag isn't affected, since it's computed from both question versions regardless. I'd treat FYE2024-specific item-level estimates with more caution than other years, and a robustness check re-estimating excluding FYE2024 entirely is the natural way to see whether any item's result depends on that thin year.</w:t>
      </w:r>
    </w:p>
    <w:p>
      <w:pPr>
        <w:spacing w:after="60" w:before="200"/>
      </w:pPr>
      <w:r>
        <w:rPr>
          <w:rFonts w:ascii="Calibri" w:cs="Calibri" w:eastAsia="Calibri" w:hAnsi="Calibri"/>
          <w:b/>
          <w:bCs/>
          <w:sz w:val="22"/>
          <w:szCs w:val="22"/>
        </w:rPr>
        <w:t xml:space="preserve">Q5. Your pre-trend joint Wald test is flagged as marginally significant — how do you justify using DiD anyway?</w:t>
      </w:r>
    </w:p>
    <w:p>
      <w:pPr>
        <w:spacing w:after="160"/>
      </w:pPr>
      <w:r>
        <w:rPr>
          <w:rFonts w:ascii="Calibri" w:cs="Calibri" w:eastAsia="Calibri" w:hAnsi="Calibri"/>
          <w:b w:val="false"/>
          <w:bCs w:val="false"/>
          <w:i w:val="false"/>
          <w:iCs w:val="false"/>
          <w:sz w:val="22"/>
          <w:szCs w:val="22"/>
        </w:rPr>
        <w:t xml:space="preserve">Individually, none of the pre-2022 year-by-Scotland coefficients are significant once controls are added — only the post-treatment period remains significant. The joint test stays marginally flagged, but with around 6,000 Scottish versus 45,000 English observations, these joint pre-trend tests are underpowered by construction, a point Roth (2022) makes generally about DiD pre-trend testing. I disclose this transparently rather than hiding it, and treat the covariate-adjusted specification as preferred, following Abadie (2005)'s argument that conditioning makes parallel trends more credible.</w:t>
      </w:r>
    </w:p>
    <w:p>
      <w:pPr>
        <w:spacing w:after="60" w:before="200"/>
      </w:pPr>
      <w:r>
        <w:rPr>
          <w:rFonts w:ascii="Calibri" w:cs="Calibri" w:eastAsia="Calibri" w:hAnsi="Calibri"/>
          <w:b/>
          <w:bCs/>
          <w:sz w:val="22"/>
          <w:szCs w:val="22"/>
        </w:rPr>
        <w:t xml:space="preserve">Q6. Why cluster standard errors at region level, and why add a wild bootstrap on top?</w:t>
      </w:r>
    </w:p>
    <w:p>
      <w:pPr>
        <w:spacing w:after="160"/>
      </w:pPr>
      <w:r>
        <w:rPr>
          <w:rFonts w:ascii="Calibri" w:cs="Calibri" w:eastAsia="Calibri" w:hAnsi="Calibri"/>
          <w:b w:val="false"/>
          <w:bCs w:val="false"/>
          <w:i w:val="false"/>
          <w:iCs w:val="false"/>
          <w:sz w:val="22"/>
          <w:szCs w:val="22"/>
        </w:rPr>
        <w:t xml:space="preserve">Region-level clustering, using GVTREGN, follows Bertrand, Duflo and Mullainathan's (2004) warning about serial correlation in DiD panel designs — clustering at country level would give only two clusters and degenerate cluster-robust variance. But even at region level, the number of clusters is still small enough that standard asymptotic cluster-robust inference can be unreliable — the sandwich estimator's usual t-distribution approximation breaks down as the number of clusters shrinks. The wild cluster bootstrap (Cameron, Gelbach &amp; Miller 2008) resamples cluster-level residuals with random sign flips to build a finite-sample reference distribution instead of relying on that asymptotic approximation, which is more defensible here.</w:t>
      </w:r>
    </w:p>
    <w:p>
      <w:pPr>
        <w:spacing w:after="60" w:before="200"/>
      </w:pPr>
      <w:r>
        <w:rPr>
          <w:rFonts w:ascii="Calibri" w:cs="Calibri" w:eastAsia="Calibri" w:hAnsi="Calibri"/>
          <w:b/>
          <w:bCs/>
          <w:sz w:val="22"/>
          <w:szCs w:val="22"/>
        </w:rPr>
        <w:t xml:space="preserve">Q7. Why use DML instead of Callaway-Sant'Anna, given you have a staggered rollout?</w:t>
      </w:r>
    </w:p>
    <w:p>
      <w:pPr>
        <w:spacing w:after="160"/>
      </w:pPr>
      <w:r>
        <w:rPr>
          <w:rFonts w:ascii="Calibri" w:cs="Calibri" w:eastAsia="Calibri" w:hAnsi="Calibri"/>
          <w:b w:val="false"/>
          <w:bCs w:val="false"/>
          <w:i w:val="false"/>
          <w:iCs w:val="false"/>
          <w:sz w:val="22"/>
          <w:szCs w:val="22"/>
        </w:rPr>
        <w:t xml:space="preserve">They address different problems. DML tackles functional-form misspecification in how covariates enter the model — whether income and family type should interact flexibly rather than additively. Callaway-Sant'Anna addresses staggered treatment timing across units. My main specification treats the November 2022 expansion as the single treatment event, so DML is the first-order concern here; Callaway-Sant'Anna is the natural extension if the earlier February 2021 wave turns out to matter more than my design currently assumes — though I'd flag that 2020/21 is excluded from my data for COVID, which is exactly the year containing that rollout, so extending to Callaway-Sant'Anna has a real data gap to navigate, not just an implementation cost.</w:t>
      </w:r>
    </w:p>
    <w:p>
      <w:pPr>
        <w:spacing w:after="60" w:before="200"/>
      </w:pPr>
      <w:r>
        <w:rPr>
          <w:rFonts w:ascii="Calibri" w:cs="Calibri" w:eastAsia="Calibri" w:hAnsi="Calibri"/>
          <w:b/>
          <w:bCs/>
          <w:sz w:val="22"/>
          <w:szCs w:val="22"/>
        </w:rPr>
        <w:t xml:space="preserve">Q8. Severe deprivation shows a null effect — is that a real null or just low power?</w:t>
      </w:r>
    </w:p>
    <w:p>
      <w:pPr>
        <w:spacing w:after="160"/>
      </w:pPr>
      <w:r>
        <w:rPr>
          <w:rFonts w:ascii="Calibri" w:cs="Calibri" w:eastAsia="Calibri" w:hAnsi="Calibri"/>
          <w:b w:val="false"/>
          <w:bCs w:val="false"/>
          <w:i w:val="false"/>
          <w:iCs w:val="false"/>
          <w:sz w:val="22"/>
          <w:szCs w:val="22"/>
        </w:rPr>
        <w:t xml:space="preserve">The point estimate is close to zero in both specifications, with standard errors similar in magnitude to the significant any-deprivation estimate — so it's not simply a wide confidence interval around a plausible effect. Severe deprivation is rarer than any-deprivation, so there is somewhat less power there, but the estimate itself is centred near zero, not just imprecise. My reading is that SCP moves families out of mild-to-moderate deprivation without reaching the more entrenched severe cases — which is itself a policy-relevant finding, not a disappointing null.</w:t>
      </w:r>
    </w:p>
    <w:p>
      <w:pPr>
        <w:spacing w:after="60" w:before="200"/>
      </w:pPr>
      <w:r>
        <w:rPr>
          <w:rFonts w:ascii="Calibri" w:cs="Calibri" w:eastAsia="Calibri" w:hAnsi="Calibri"/>
          <w:b/>
          <w:bCs/>
          <w:sz w:val="22"/>
          <w:szCs w:val="22"/>
        </w:rPr>
        <w:t xml:space="preserve">Q9. How does the official MDCH flag differ from your own item-level composites, and why report both?</w:t>
      </w:r>
    </w:p>
    <w:p>
      <w:pPr>
        <w:spacing w:after="160"/>
      </w:pPr>
      <w:r>
        <w:rPr>
          <w:rFonts w:ascii="Calibri" w:cs="Calibri" w:eastAsia="Calibri" w:hAnsi="Calibri"/>
          <w:b w:val="false"/>
          <w:bCs w:val="false"/>
          <w:i w:val="false"/>
          <w:iCs w:val="false"/>
          <w:sz w:val="22"/>
          <w:szCs w:val="22"/>
        </w:rPr>
        <w:t xml:space="preserve">The official flag is DWP's own benefit-unit-level deprivation threshold, computed centrally regardless of which question version a respondent received in FYE2024. My own composites are built directly from the ten individual items I use for the item-level decomposition, so they inherit that year's question-revision sample restriction. Reporting both is a deliberate cross-check: because the two measures move together — both show significant, similarly-sized reductions — that's evidence the thinner FYE2024 item-level sample isn't distorting the composite results.</w:t>
      </w:r>
    </w:p>
    <w:p>
      <w:pPr>
        <w:spacing w:after="60" w:before="200"/>
      </w:pPr>
      <w:r>
        <w:rPr>
          <w:rFonts w:ascii="Calibri" w:cs="Calibri" w:eastAsia="Calibri" w:hAnsi="Calibri"/>
          <w:b/>
          <w:bCs/>
          <w:sz w:val="22"/>
          <w:szCs w:val="22"/>
        </w:rPr>
        <w:t xml:space="preserve">Q10. Your pre-trend event-study coefficients are reported relative to 2016/17 — modern practice (Roth 2022, Sun &amp; Abraham) usually anchors to the year right before treatment. Why 2016/17?</w:t>
      </w:r>
    </w:p>
    <w:p>
      <w:pPr>
        <w:spacing w:after="160"/>
      </w:pPr>
      <w:r>
        <w:rPr>
          <w:rFonts w:ascii="Calibri" w:cs="Calibri" w:eastAsia="Calibri" w:hAnsi="Calibri"/>
          <w:b w:val="false"/>
          <w:bCs w:val="false"/>
          <w:i w:val="false"/>
          <w:iCs w:val="false"/>
          <w:sz w:val="22"/>
          <w:szCs w:val="22"/>
        </w:rPr>
        <w:t xml:space="preserve">Deliberately, for comparability: Stewart et al.'s CASE (2025) paper — the benchmark I'm replicating in Stage 1 — anchors its own event-study tables (Table A2 and Table A3) to 2016/17 as well, without giving a stated rationale beyond it being the first year of their sample. Since Stage 1's whole purpose is to validate my pipeline against their published numbers before doing anything novel, I kept the same reference year rather than switching to the methodologically more standard t-1 anchor, which would break that direct comparability. Two things reassure me this doesn't cost much: the joint Wald test of "no pre-trend" is a linear reparametrization-invariant statistic — it would give the same p-value whichever year is omitted, since it's testing whether all the pre-period year-gaps equal each other, not testing against a specific baseline. What does change with the reference year is how the individual year coefficients read: relative to 2016/17, they show cumulative drift since the start of the sample; relative to 2021/22, they'd show change specifically since just before treatment. If pressed further, I'd flag this as a considered choice tied to my replication design, not an oversight — and note that a 2022-referenced version would be a natural robustness table to add.</w:t>
      </w:r>
    </w:p>
    <w:p>
      <w:pPr>
        <w:spacing w:after="60" w:before="200"/>
      </w:pPr>
      <w:r>
        <w:rPr>
          <w:rFonts w:ascii="Calibri" w:cs="Calibri" w:eastAsia="Calibri" w:hAnsi="Calibri"/>
          <w:b/>
          <w:bCs/>
          <w:sz w:val="22"/>
          <w:szCs w:val="22"/>
        </w:rPr>
        <w:t xml:space="preserve">Q11. You cite Manski (1990) on the literature slide — what's that paper actually about, and why is it there?</w:t>
      </w:r>
    </w:p>
    <w:p>
      <w:pPr>
        <w:spacing w:after="160"/>
      </w:pPr>
      <w:r>
        <w:rPr>
          <w:rFonts w:ascii="Calibri" w:cs="Calibri" w:eastAsia="Calibri" w:hAnsi="Calibri"/>
          <w:b w:val="false"/>
          <w:bCs w:val="false"/>
          <w:i w:val="false"/>
          <w:iCs w:val="false"/>
          <w:sz w:val="22"/>
          <w:szCs w:val="22"/>
        </w:rPr>
        <w:t xml:space="preserve">Manski's "Nonparametric Bounds on Treatment Effects" is a founding paper of the partial identification literature. Instead of adding assumptions strong enough to point-identify a single treatment effect — randomisation, unconfoundedness, an instrument, a parametric model — Manski asks what you can still learn without them. His answer: if you know something simple about the outcome's range, like it being binary, the data alone still constrain the treatment effect to an interval, even under no behavioural assumptions at all — a "worst-case" bound that's wide but undeniable. You can then narrow it by adding progressively stronger, but still individually defensible, assumptions like monotone treatment response, without needing the full assumption set that point identification would require. It's on my slide as the fallback for the measurement-error problem, not something I've implemented — every stage of my current design is a point-identification approach. If the classical assumption that MDCH item error is just random noise breaks down, this is the principled way to report a defensible interval instead of a point estimate resting on an assumption I can't verify. It's also the direct ancestor of Kreider et al. (2012), cited alongside it, which works out the specific bounds for binary misclassification — exactly the MDCH items' situation — so Kreider would be the more directly applicable tool if I ever needed to actually use this.</w:t>
      </w:r>
    </w:p>
    <w:p>
      <w:pPr>
        <w:spacing w:after="60" w:before="200"/>
      </w:pPr>
      <w:r>
        <w:rPr>
          <w:rFonts w:ascii="Calibri" w:cs="Calibri" w:eastAsia="Calibri" w:hAnsi="Calibri"/>
          <w:b/>
          <w:bCs/>
          <w:sz w:val="22"/>
          <w:szCs w:val="22"/>
        </w:rPr>
        <w:t xml:space="preserve">Q12. The slide count of MDCH items is inconsistent across the deck — is it 10 or 12?</w:t>
      </w:r>
    </w:p>
    <w:p>
      <w:pPr>
        <w:spacing w:after="160"/>
      </w:pPr>
      <w:r>
        <w:rPr>
          <w:rFonts w:ascii="Calibri" w:cs="Calibri" w:eastAsia="Calibri" w:hAnsi="Calibri"/>
          <w:b w:val="false"/>
          <w:bCs w:val="false"/>
          <w:i w:val="false"/>
          <w:iCs w:val="false"/>
          <w:sz w:val="22"/>
          <w:szCs w:val="22"/>
        </w:rPr>
        <w:t xml:space="preserve">It's 10 — that's what's actually implemented in the analysis code and what Slides 5 and 6 correctly show. A few slides (8, 13, 14, 15) still say "12" from an earlier iteration of the item list and need correcting before I present; I'd rather flag that directly than be caught out by it, and the fix is purely textual, not a change to any result.</w:t>
      </w:r>
    </w:p>
    <w:p>
      <w:pPr>
        <w:pageBreakBefore/>
      </w:pPr>
    </w:p>
    <w:p>
      <w:pPr>
        <w:pStyle w:val="Heading1"/>
      </w:pPr>
      <w:r>
        <w:rPr>
          <w:rFonts w:ascii="Calibri" w:cs="Calibri" w:eastAsia="Calibri" w:hAnsi="Calibri"/>
        </w:rPr>
        <w:t xml:space="preserve">Double ML: Anticipated Questions</w:t>
      </w:r>
    </w:p>
    <w:p>
      <w:pPr>
        <w:spacing w:after="160"/>
      </w:pPr>
      <w:r>
        <w:rPr>
          <w:rFonts w:ascii="Calibri" w:cs="Calibri" w:eastAsia="Calibri" w:hAnsi="Calibri"/>
          <w:b w:val="false"/>
          <w:bCs w:val="false"/>
          <w:i w:val="false"/>
          <w:iCs w:val="false"/>
          <w:sz w:val="22"/>
          <w:szCs w:val="22"/>
        </w:rPr>
        <w:t xml:space="preserve">These are grounded directly in 04_dml_did.R's actual implementation (library(DoubleML), DoubleMLDID class, ranger/glmnet learners), not just DML theory in the abstract — an examiner who's read the DML literature will probe exactly these details. D1 and D2 specifically address the Chang-vs-Sant'Anna-Zhao framing choice made on Slide 12.</w:t>
      </w:r>
    </w:p>
    <w:p>
      <w:pPr>
        <w:spacing w:after="60" w:before="200"/>
      </w:pPr>
      <w:r>
        <w:rPr>
          <w:rFonts w:ascii="Calibri" w:cs="Calibri" w:eastAsia="Calibri" w:hAnsi="Calibri"/>
          <w:b/>
          <w:bCs/>
          <w:sz w:val="22"/>
          <w:szCs w:val="22"/>
        </w:rPr>
        <w:t xml:space="preserve">D1. Walk me through exactly what your DML-DiD estimator is doing — what's the estimating equation?</w:t>
      </w:r>
    </w:p>
    <w:p>
      <w:pPr>
        <w:spacing w:after="160"/>
      </w:pPr>
      <w:r>
        <w:rPr>
          <w:rFonts w:ascii="Calibri" w:cs="Calibri" w:eastAsia="Calibri" w:hAnsi="Calibri"/>
          <w:b w:val="false"/>
          <w:bCs w:val="false"/>
          <w:i w:val="false"/>
          <w:iCs w:val="false"/>
          <w:sz w:val="22"/>
          <w:szCs w:val="22"/>
        </w:rPr>
        <w:t xml:space="preserve">I use the R DoubleML package's DoubleMLDID class. It estimates two nuisance functions with flexible ML: an outcome regression g(X) predicting the deprivation outcome from covariates, and a propensity model m(X) predicting Scotland vs. England from the same covariates — both with 5-fold cross-fitting, repeated 3 times to reduce sensitivity to the random fold split. Those two nuisance estimates are combined into Sant'Anna &amp; Zhao's (2020) doubly robust moment condition for the ATT, which stays consistent if either the outcome model or the propensity model is correctly specified — not necessarily both.</w:t>
      </w:r>
    </w:p>
    <w:p>
      <w:pPr>
        <w:spacing w:after="60" w:before="200"/>
      </w:pPr>
      <w:r>
        <w:rPr>
          <w:rFonts w:ascii="Calibri" w:cs="Calibri" w:eastAsia="Calibri" w:hAnsi="Calibri"/>
          <w:b/>
          <w:bCs/>
          <w:sz w:val="22"/>
          <w:szCs w:val="22"/>
        </w:rPr>
        <w:t xml:space="preserve">D2. Your slide leads with Chang (2020)'s partialling-out procedure, but you just said the code implements Sant'Anna &amp; Zhao's doubly robust score — which is it, and why present it that way?</w:t>
      </w:r>
    </w:p>
    <w:p>
      <w:pPr>
        <w:spacing w:after="160"/>
      </w:pPr>
      <w:r>
        <w:rPr>
          <w:rFonts w:ascii="Calibri" w:cs="Calibri" w:eastAsia="Calibri" w:hAnsi="Calibri"/>
          <w:b w:val="false"/>
          <w:bCs w:val="false"/>
          <w:i w:val="false"/>
          <w:iCs w:val="false"/>
          <w:sz w:val="22"/>
          <w:szCs w:val="22"/>
        </w:rPr>
        <w:t xml:space="preserve">Both are in play, deliberately. The slide leads with Chang's partial-out-then-OLS-of-residuals framing because it's the more intuitive story to present live — it's easy to see why residualising on flexible ML predictions removes regularisation bias. The literal estimating equation my numbers come from is Sant'Anna &amp; Zhao's (2020) doubly robust AIPW-style moment, via DoubleMLDID with score="observational". The two are close cousins: both are Neyman-orthogonal, both use cross-fitting, and both are motivated by the same underlying idea of using ML flexibly without contaminating inference — they differ in the precise moment condition, with Sant'Anna &amp; Zhao's version adding the extra robustness of two chances to get the nuisance model right rather than one. I chose to present Chang's version because I can walk through it more precisely live; if pressed on the exact software output, the honest answer is Sant'Anna &amp; Zhao.</w:t>
      </w:r>
    </w:p>
    <w:p>
      <w:pPr>
        <w:spacing w:after="60" w:before="200"/>
      </w:pPr>
      <w:r>
        <w:rPr>
          <w:rFonts w:ascii="Calibri" w:cs="Calibri" w:eastAsia="Calibri" w:hAnsi="Calibri"/>
          <w:b/>
          <w:bCs/>
          <w:sz w:val="22"/>
          <w:szCs w:val="22"/>
        </w:rPr>
        <w:t xml:space="preserve">D3. Why does 'doubly robust' matter here specifically?</w:t>
      </w:r>
    </w:p>
    <w:p>
      <w:pPr>
        <w:spacing w:after="160"/>
      </w:pPr>
      <w:r>
        <w:rPr>
          <w:rFonts w:ascii="Calibri" w:cs="Calibri" w:eastAsia="Calibri" w:hAnsi="Calibri"/>
          <w:b w:val="false"/>
          <w:bCs w:val="false"/>
          <w:i w:val="false"/>
          <w:iCs w:val="false"/>
          <w:sz w:val="22"/>
          <w:szCs w:val="22"/>
        </w:rPr>
        <w:t xml:space="preserve">Because it's consistent if either the outcome regression or the propensity model is right, not both — two chances to get the design correct rather than one. Here the propensity model predicts Scotland vs. England from covariates like income, tenure and family type, none of which perfectly separate the two countries, so it's genuinely useful to have the outcome-regression side as a fallback if that propensity model is misspecified, and vice versa.</w:t>
      </w:r>
    </w:p>
    <w:p>
      <w:pPr>
        <w:spacing w:after="60" w:before="200"/>
      </w:pPr>
      <w:r>
        <w:rPr>
          <w:rFonts w:ascii="Calibri" w:cs="Calibri" w:eastAsia="Calibri" w:hAnsi="Calibri"/>
          <w:b/>
          <w:bCs/>
          <w:sz w:val="22"/>
          <w:szCs w:val="22"/>
        </w:rPr>
        <w:t xml:space="preserve">D4. What is Neyman orthogonality, and why do you need it when using ML for the nuisance functions?</w:t>
      </w:r>
    </w:p>
    <w:p>
      <w:pPr>
        <w:spacing w:after="160"/>
      </w:pPr>
      <w:r>
        <w:rPr>
          <w:rFonts w:ascii="Calibri" w:cs="Calibri" w:eastAsia="Calibri" w:hAnsi="Calibri"/>
          <w:b w:val="false"/>
          <w:bCs w:val="false"/>
          <w:i w:val="false"/>
          <w:iCs w:val="false"/>
          <w:sz w:val="22"/>
          <w:szCs w:val="22"/>
        </w:rPr>
        <w:t xml:space="preserve">It means the moment condition I estimate the treatment effect from is insensitive, to first order, to small errors in the nuisance estimates g and m. Without that property, plugging flexible ML fits into a treatment-effect estimator introduces a regularisation bias that doesn't vanish even as the sample grows. Orthogonality pushes that bias to second order, which is what lets me still get valid, root-n asymptotically normal inference despite using random forests and lasso in the first stage.</w:t>
      </w:r>
    </w:p>
    <w:p>
      <w:pPr>
        <w:spacing w:after="60" w:before="200"/>
      </w:pPr>
      <w:r>
        <w:rPr>
          <w:rFonts w:ascii="Calibri" w:cs="Calibri" w:eastAsia="Calibri" w:hAnsi="Calibri"/>
          <w:b/>
          <w:bCs/>
          <w:sz w:val="22"/>
          <w:szCs w:val="22"/>
        </w:rPr>
        <w:t xml:space="preserve">D5. Why cross-fitting, and why 5 folds repeated 3 times?</w:t>
      </w:r>
    </w:p>
    <w:p>
      <w:pPr>
        <w:spacing w:after="160"/>
      </w:pPr>
      <w:r>
        <w:rPr>
          <w:rFonts w:ascii="Calibri" w:cs="Calibri" w:eastAsia="Calibri" w:hAnsi="Calibri"/>
          <w:b w:val="false"/>
          <w:bCs w:val="false"/>
          <w:i w:val="false"/>
          <w:iCs w:val="false"/>
          <w:sz w:val="22"/>
          <w:szCs w:val="22"/>
        </w:rPr>
        <w:t xml:space="preserve">Cross-fitting stops the ML nuisance models from overfitting to the same data used to estimate the treatment effect — I fit g and m on 4 folds and evaluate the moment condition on the held-out fold, rotating through all 5. Five folds is a standard balance between larger, more reliable training folds and having enough held-out folds to average over. I repeat the whole split 3 times with different random folds and average the results, following Chernozhukov et al.'s (2018) recommendation to reduce how much any one particular fold draw affects the final estimate.</w:t>
      </w:r>
    </w:p>
    <w:p>
      <w:pPr>
        <w:spacing w:after="60" w:before="200"/>
      </w:pPr>
      <w:r>
        <w:rPr>
          <w:rFonts w:ascii="Calibri" w:cs="Calibri" w:eastAsia="Calibri" w:hAnsi="Calibri"/>
          <w:b/>
          <w:bCs/>
          <w:sz w:val="22"/>
          <w:szCs w:val="22"/>
        </w:rPr>
        <w:t xml:space="preserve">D6. Why Random Forest and Lasso specifically, rather than gradient boosting or a neural network?</w:t>
      </w:r>
    </w:p>
    <w:p>
      <w:pPr>
        <w:spacing w:after="160"/>
      </w:pPr>
      <w:r>
        <w:rPr>
          <w:rFonts w:ascii="Calibri" w:cs="Calibri" w:eastAsia="Calibri" w:hAnsi="Calibri"/>
          <w:b w:val="false"/>
          <w:bCs w:val="false"/>
          <w:i w:val="false"/>
          <w:iCs w:val="false"/>
          <w:sz w:val="22"/>
          <w:szCs w:val="22"/>
        </w:rPr>
        <w:t xml:space="preserve">Random forest is my primary learner because it captures non-linearities and covariate interactions — like income and family type — without me pre-specifying them, which is exactly what linear DiD can't do. Lasso is my robustness check: a very differently-regularised, linear functional form. If both learners give similar treatment effects, that's evidence the result isn't an artefact of one learner's particular inductive bias. With around 50,000 observations and a moderate covariate set, this pairing is the standard comparison in the DML literature — I didn't see a strong case for the added complexity of boosting or neural nets on top of it.</w:t>
      </w:r>
    </w:p>
    <w:p>
      <w:pPr>
        <w:spacing w:after="60" w:before="200"/>
      </w:pPr>
      <w:r>
        <w:rPr>
          <w:rFonts w:ascii="Calibri" w:cs="Calibri" w:eastAsia="Calibri" w:hAnsi="Calibri"/>
          <w:b/>
          <w:bCs/>
          <w:sz w:val="22"/>
          <w:szCs w:val="22"/>
        </w:rPr>
        <w:t xml:space="preserve">D7. Between Random Forest and Lasso, which do you think is actually preferable here?</w:t>
      </w:r>
    </w:p>
    <w:p>
      <w:pPr>
        <w:spacing w:after="160"/>
      </w:pPr>
      <w:r>
        <w:rPr>
          <w:rFonts w:ascii="Calibri" w:cs="Calibri" w:eastAsia="Calibri" w:hAnsi="Calibri"/>
          <w:b w:val="false"/>
          <w:bCs w:val="false"/>
          <w:i w:val="false"/>
          <w:iCs w:val="false"/>
          <w:sz w:val="22"/>
          <w:szCs w:val="22"/>
        </w:rPr>
        <w:t xml:space="preserve">Neither is straightforwardly better — I use both deliberately, as complementary checks, and that pairing is itself my answer if pressed on preference. If forced to pick a primary, I'd lean Random Forest: Lasso assumes an approximately linear, sparse relationship between covariates and the outcome, which is a strong assumption for something like income interacting with family type in how it relates to deprivation — and if I actually believed that sparse-linear assumption, I could just add interaction terms to the Stage 1 OLS and skip DML entirely. Random Forest captures that kind of interaction without me pre-specifying it, which is the whole motivating case for DML over the linear benchmark. The honest tradeoff is that flexibility costs interpretability and, potentially, variance — though my hyperparameters (200 trees, max depth 5, min node size 20) are deliberately conservative to limit first-stage overfitting, while Lasso's penalty is tuned via 5-fold cross-validation, so it's adapting to the data in a way the forest's fixed hyperparameters aren't. The more defensible framing isn't "which is inherently better" — it's what agreement or divergence between them tells me: if they give similar ATT estimates, that's evidence the result isn't an artefact of one learner's inductive bias; if they diverge, that suggests the linear model's additive-effects assumption was doing real work, and I'd weight the more flexible estimate more heavily.</w:t>
      </w:r>
    </w:p>
    <w:p>
      <w:pPr>
        <w:spacing w:after="60" w:before="200"/>
      </w:pPr>
      <w:r>
        <w:rPr>
          <w:rFonts w:ascii="Calibri" w:cs="Calibri" w:eastAsia="Calibri" w:hAnsi="Calibri"/>
          <w:b/>
          <w:bCs/>
          <w:sz w:val="22"/>
          <w:szCs w:val="22"/>
        </w:rPr>
        <w:t xml:space="preserve">D8. Is your sample size actually large enough for these ML methods to work reliably?</w:t>
      </w:r>
    </w:p>
    <w:p>
      <w:pPr>
        <w:spacing w:after="160"/>
      </w:pPr>
      <w:r>
        <w:rPr>
          <w:rFonts w:ascii="Calibri" w:cs="Calibri" w:eastAsia="Calibri" w:hAnsi="Calibri"/>
          <w:b w:val="false"/>
          <w:bCs w:val="false"/>
          <w:i w:val="false"/>
          <w:iCs w:val="false"/>
          <w:sz w:val="22"/>
          <w:szCs w:val="22"/>
        </w:rPr>
        <w:t xml:space="preserve">It splits into a few different questions depending on where you look. Overall, around 50,000 observations with 20 DML covariates is a reasonable size for tabular ML — not big-data scale, but well within the range where Random Forest and Lasso behave sensibly rather than needing exotic regularisation. Cross-fitting doesn't shrink that much either: with 5 folds, each training split still uses roughly 80% of the data, about 37,000-40,000 observations, which is ample for a forest capped at depth 5 with minimum node size 20, or for Lasso's own internal cross-validation. The real soft spot is the treated group specifically: Scotland is only about 6,090 of the ~50,000 total, roughly 12%, which matters for the propensity model learning P(Scotland | X) from a comparatively thin treated group — that's exactly why I trim the propensity score at 1%, to protect against thin coverage in some regions of covariate space. It gets tighter again at the item level in Stage 3, where some items carry extra missingness — food insecurity only from 2021/22 onward, and the 2023/24 question revision leaving only a minority of that year's respondents with old-style item data — compounded with cross-fitting, that could leave some items' effective per-fold treated count genuinely thin. I'll be honest that I haven't yet built an explicit diagnostic logging the minimum treated count per fold per outcome — 04_dml_did.R currently logs the overall estimation sample size but not that. If asked whether any specific item's folds actually got thin enough to worry about, my honest answer right now is that I haven't explicitly checked, not that I've ruled it out. More broadly, DML's guarantees are asymptotic — there's no finite-sample proof that this n is "enough" — so the best I can say is that this order of magnitude matches what's used successfully elsewhere in the applied DML literature, and that Random Forest and Lasso agreeing on the final estimates, if they do, is itself informal evidence the sample is pinning down a stable answer rather than fitting noise.</w:t>
      </w:r>
    </w:p>
    <w:p>
      <w:pPr>
        <w:spacing w:after="60" w:before="200"/>
      </w:pPr>
      <w:r>
        <w:rPr>
          <w:rFonts w:ascii="Calibri" w:cs="Calibri" w:eastAsia="Calibri" w:hAnsi="Calibri"/>
          <w:b/>
          <w:bCs/>
          <w:sz w:val="22"/>
          <w:szCs w:val="22"/>
        </w:rPr>
        <w:t xml:space="preserve">D9. Did you tune your random forest's hyperparameters?</w:t>
      </w:r>
    </w:p>
    <w:p>
      <w:pPr>
        <w:spacing w:after="160"/>
      </w:pPr>
      <w:r>
        <w:rPr>
          <w:rFonts w:ascii="Calibri" w:cs="Calibri" w:eastAsia="Calibri" w:hAnsi="Calibri"/>
          <w:b w:val="false"/>
          <w:bCs w:val="false"/>
          <w:i w:val="false"/>
          <w:iCs w:val="false"/>
          <w:sz w:val="22"/>
          <w:szCs w:val="22"/>
        </w:rPr>
        <w:t xml:space="preserve">Partially. The Lasso learner tunes its penalty via 5-fold internal cross-validation (cv.glmnet). The random forest uses fixed hyperparameters — 200 trees, max depth 5, minimum node size 20 — chosen to keep individual trees shallow and reduce first-stage overfitting, rather than tuned via a nested cross-validation loop. That's a genuine limitation: a more thorough version would tune inside each outer fold, at considerably more compute cost.</w:t>
      </w:r>
    </w:p>
    <w:p>
      <w:pPr>
        <w:spacing w:after="60" w:before="200"/>
      </w:pPr>
      <w:r>
        <w:rPr>
          <w:rFonts w:ascii="Calibri" w:cs="Calibri" w:eastAsia="Calibri" w:hAnsi="Calibri"/>
          <w:b/>
          <w:bCs/>
          <w:sz w:val="22"/>
          <w:szCs w:val="22"/>
        </w:rPr>
        <w:t xml:space="preserve">D10. How are your standard errors and confidence intervals computed for the DML estimates?</w:t>
      </w:r>
    </w:p>
    <w:p>
      <w:pPr>
        <w:spacing w:after="160"/>
      </w:pPr>
      <w:r>
        <w:rPr>
          <w:rFonts w:ascii="Calibri" w:cs="Calibri" w:eastAsia="Calibri" w:hAnsi="Calibri"/>
          <w:b w:val="false"/>
          <w:bCs w:val="false"/>
          <w:i w:val="false"/>
          <w:iCs w:val="false"/>
          <w:sz w:val="22"/>
          <w:szCs w:val="22"/>
        </w:rPr>
        <w:t xml:space="preserve">Through DoubleML's built-in inference, based on Chernozhukov et al.'s (2018) asymptotic normality result — the estimator is asymptotically linear with an influence function that falls out of the doubly robust moment condition directly. Standard errors come from the sample variance of that influence function, aggregated across the repeated cross-fitting splits.</w:t>
      </w:r>
    </w:p>
    <w:p>
      <w:pPr>
        <w:spacing w:after="60" w:before="200"/>
      </w:pPr>
      <w:r>
        <w:rPr>
          <w:rFonts w:ascii="Calibri" w:cs="Calibri" w:eastAsia="Calibri" w:hAnsi="Calibri"/>
          <w:b/>
          <w:bCs/>
          <w:sz w:val="22"/>
          <w:szCs w:val="22"/>
        </w:rPr>
        <w:t xml:space="preserve">D11. Is this panel data or repeated cross-section, and does that matter for which DML-DiD variant you use?</w:t>
      </w:r>
    </w:p>
    <w:p>
      <w:pPr>
        <w:spacing w:after="160"/>
      </w:pPr>
      <w:r>
        <w:rPr>
          <w:rFonts w:ascii="Calibri" w:cs="Calibri" w:eastAsia="Calibri" w:hAnsi="Calibri"/>
          <w:b w:val="false"/>
          <w:bCs w:val="false"/>
          <w:i w:val="false"/>
          <w:iCs w:val="false"/>
          <w:sz w:val="22"/>
          <w:szCs w:val="22"/>
        </w:rPr>
        <w:t xml:space="preserve">Repeated cross-section — HBAI surveys a different set of households each year rather than following the same families over time. DoubleMLDID supports both variants, and I've specified the repeated cross-section case, which matches how HBAI is actually collected.</w:t>
      </w:r>
    </w:p>
    <w:p>
      <w:pPr>
        <w:spacing w:after="60" w:before="200"/>
      </w:pPr>
      <w:r>
        <w:rPr>
          <w:rFonts w:ascii="Calibri" w:cs="Calibri" w:eastAsia="Calibri" w:hAnsi="Calibri"/>
          <w:b/>
          <w:bCs/>
          <w:sz w:val="22"/>
          <w:szCs w:val="22"/>
        </w:rPr>
        <w:t xml:space="preserve">D12. What's the "observational" score option, and why not "experimental"?</w:t>
      </w:r>
    </w:p>
    <w:p>
      <w:pPr>
        <w:spacing w:after="160"/>
      </w:pPr>
      <w:r>
        <w:rPr>
          <w:rFonts w:ascii="Calibri" w:cs="Calibri" w:eastAsia="Calibri" w:hAnsi="Calibri"/>
          <w:b w:val="false"/>
          <w:bCs w:val="false"/>
          <w:i w:val="false"/>
          <w:iCs w:val="false"/>
          <w:sz w:val="22"/>
          <w:szCs w:val="22"/>
        </w:rPr>
        <w:t xml:space="preserve">DoubleMLDID's "experimental" score assumes treatment assignment is unrelated to covariates — appropriate for a randomised trial. The "observational" score allows Scotland/England assignment to depend on covariates through the propensity model, which is obviously the right assumption here since which country a household lives in isn't randomly assigned. That's also what makes the propensity-score half of the doubly robust estimator actually do something.</w:t>
      </w:r>
    </w:p>
    <w:p>
      <w:pPr>
        <w:spacing w:after="60" w:before="200"/>
      </w:pPr>
      <w:r>
        <w:rPr>
          <w:rFonts w:ascii="Calibri" w:cs="Calibri" w:eastAsia="Calibri" w:hAnsi="Calibri"/>
          <w:b/>
          <w:bCs/>
          <w:sz w:val="22"/>
          <w:szCs w:val="22"/>
        </w:rPr>
        <w:t xml:space="preserve">D13. Why trim the propensity score at 1%, and what does that cost you?</w:t>
      </w:r>
    </w:p>
    <w:p>
      <w:pPr>
        <w:spacing w:after="160"/>
      </w:pPr>
      <w:r>
        <w:rPr>
          <w:rFonts w:ascii="Calibri" w:cs="Calibri" w:eastAsia="Calibri" w:hAnsi="Calibri"/>
          <w:b w:val="false"/>
          <w:bCs w:val="false"/>
          <w:i w:val="false"/>
          <w:iCs w:val="false"/>
          <w:sz w:val="22"/>
          <w:szCs w:val="22"/>
        </w:rPr>
        <w:t xml:space="preserve">To protect against the overlap assumption breaking down — if some covariate combination predicts Scotland or England with near-certainty, inverse-propensity weighting inside the doubly robust score can explode. Clipping predicted propensities to [0.01, 0.99] bounds that influence, at the cost of a small amount of bias if trimming actually binds for a non-trivial number of observations — worth checking and reporting how many rows were affected.</w:t>
      </w:r>
    </w:p>
    <w:p>
      <w:pPr>
        <w:spacing w:after="60" w:before="200"/>
      </w:pPr>
      <w:r>
        <w:rPr>
          <w:rFonts w:ascii="Calibri" w:cs="Calibri" w:eastAsia="Calibri" w:hAnsi="Calibri"/>
          <w:b/>
          <w:bCs/>
          <w:sz w:val="22"/>
          <w:szCs w:val="22"/>
        </w:rPr>
        <w:t xml:space="preserve">D14. How do your DML estimates compare to your linear DiD benchmark, and what would it mean if they differed a lot?</w:t>
      </w:r>
    </w:p>
    <w:p>
      <w:pPr>
        <w:spacing w:after="160"/>
      </w:pPr>
      <w:r>
        <w:rPr>
          <w:rFonts w:ascii="Calibri" w:cs="Calibri" w:eastAsia="Calibri" w:hAnsi="Calibri"/>
          <w:b w:val="false"/>
          <w:bCs w:val="false"/>
          <w:i w:val="false"/>
          <w:iCs w:val="false"/>
          <w:sz w:val="22"/>
          <w:szCs w:val="22"/>
        </w:rPr>
        <w:t xml:space="preserve">I've built a direct comparison placing the OLS DiD estimate alongside both the Random Forest and Lasso DML-DiD estimates for each composite outcome, all with confidence intervals. If they line up closely, that's evidence the linear model's functional-form assumption wasn't costing me anything — the effect is robust to how flexibly the covariates are modelled. If they diverge substantially, that points to the linear model's additive, separable-effects assumption masking real covariate interactions, and the DML estimate should be treated as the more credible one.</w:t>
      </w:r>
    </w:p>
    <w:p>
      <w:pPr>
        <w:spacing w:after="60" w:before="200"/>
      </w:pPr>
      <w:r>
        <w:rPr>
          <w:rFonts w:ascii="Calibri" w:cs="Calibri" w:eastAsia="Calibri" w:hAnsi="Calibri"/>
          <w:b/>
          <w:bCs/>
          <w:sz w:val="22"/>
          <w:szCs w:val="22"/>
        </w:rPr>
        <w:t xml:space="preserve">D15. Your DML covariate set is much larger than your linear DiD's parsimonious set — isn't that inconsistent, and doesn't it risk overfitting?</w:t>
      </w:r>
    </w:p>
    <w:p>
      <w:pPr>
        <w:spacing w:after="160"/>
      </w:pPr>
      <w:r>
        <w:rPr>
          <w:rFonts w:ascii="Calibri" w:cs="Calibri" w:eastAsia="Calibri" w:hAnsi="Calibri"/>
          <w:b w:val="false"/>
          <w:bCs w:val="false"/>
          <w:i w:val="false"/>
          <w:iCs w:val="false"/>
          <w:sz w:val="22"/>
          <w:szCs w:val="22"/>
        </w:rPr>
        <w:t xml:space="preserve">It's a deliberate difference, not an inconsistency. The linear model uses a small, hand-picked set because with only a handful of coefficients there's no real overfitting risk, but stuffing in many raw covariates would burn degrees of freedom and risk collinearity in OLS. DML is built for the opposite situation: a large "kitchen sink" set, since Lasso's L1 penalty and Random Forest's implicit variable selection through splitting handle regularisation automatically. That's part of the point of using DML here — I don't have to pre-commit to which covariates matter or how they interact.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Calibri" w:cs="Calibri" w:eastAsia="Calibri" w:hAnsi="Calibri"/>
      <w:b/>
      <w:bCs/>
      <w:color w:val="3B00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6600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2026-07-06T10:03:27.727Z</dcterms:created>
  <dcterms:modified xsi:type="dcterms:W3CDTF">2026-07-06T10:03:27.727Z</dcterms:modified>
</cp:coreProperties>
</file>

<file path=docProps/custom.xml><?xml version="1.0" encoding="utf-8"?>
<Properties xmlns="http://schemas.openxmlformats.org/officeDocument/2006/custom-properties" xmlns:vt="http://schemas.openxmlformats.org/officeDocument/2006/docPropsVTypes"/>
</file>