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Scottish Child Payment &amp; Child Material Deprivation</w:t>
      </w:r>
    </w:p>
    <w:p>
      <w:pPr>
        <w:spacing w:after="60"/>
      </w:pPr>
      <w:r>
        <w:rPr>
          <w:rFonts w:ascii="Arial" w:cs="Arial" w:eastAsia="Arial" w:hAnsi="Arial"/>
          <w:i/>
          <w:iCs/>
          <w:color w:val="555555"/>
          <w:sz w:val="26"/>
          <w:szCs w:val="26"/>
        </w:rPr>
        <w:t xml:space="preserve">Empirical Results Narrative — Working Document</w:t>
      </w:r>
    </w:p>
    <w:p>
      <w:pPr>
        <w:spacing w:after="200"/>
      </w:pPr>
      <w:r>
        <w:rPr>
          <w:rFonts w:ascii="Arial" w:cs="Arial" w:eastAsia="Arial" w:hAnsi="Arial"/>
          <w:i/>
          <w:iCs/>
          <w:color w:val="555555"/>
          <w:sz w:val="20"/>
          <w:szCs w:val="20"/>
        </w:rPr>
        <w:t xml:space="preserve">Draft narrative to underpin the Results and Methodology chapters. Written 10 July 2026. All figures below are taken directly from validated script output; where exact figures were not recorded in this working document, the source CSV/table is referenced instead of an estimate.</w:t>
      </w:r>
    </w:p>
    <w:p>
      <w:pPr>
        <w:pStyle w:val="Heading1"/>
      </w:pPr>
      <w:r>
        <w:t xml:space="preserve">1. Research Design</w:t>
      </w:r>
    </w:p>
    <w:p>
      <w:pPr>
        <w:spacing w:after="160"/>
      </w:pPr>
      <w:r>
        <w:rPr>
          <w:rFonts w:ascii="Arial" w:cs="Arial" w:eastAsia="Arial" w:hAnsi="Arial"/>
          <w:sz w:val="22"/>
          <w:szCs w:val="22"/>
        </w:rPr>
        <w:t xml:space="preserve">Question: does the Scottish Child Payment (SCP) reduce child material deprivation? SCP was rolled out progressively and reached full national coverage by 2023 (“SCP_EXPAND_YEAR”). The design compares Scotland (treated) against England (never-treated control) using a Difference-in-Differences (DiD) strategy, before and after 2023.</w:t>
      </w:r>
    </w:p>
    <w:p>
      <w:pPr>
        <w:spacing w:after="160"/>
      </w:pPr>
      <w:r>
        <w:rPr>
          <w:rFonts w:ascii="Arial" w:cs="Arial" w:eastAsia="Arial" w:hAnsi="Arial"/>
          <w:sz w:val="22"/>
          <w:szCs w:val="22"/>
        </w:rPr>
        <w:t xml:space="preserve">Data: HBAI/FRS survey years 2017, 2018, 2019, 2020, 2022, 2023, 2024 (2021 unavailable). This is repeated cross-sectional data — a different sample of households is drawn each year, not the same households tracked over time — which shaped several of the methodological decisions below.</w:t>
      </w:r>
    </w:p>
    <w:p>
      <w:pPr>
        <w:spacing w:after="160"/>
      </w:pPr>
      <w:r>
        <w:rPr>
          <w:rFonts w:ascii="Arial" w:cs="Arial" w:eastAsia="Arial" w:hAnsi="Arial"/>
          <w:sz w:val="22"/>
          <w:szCs w:val="22"/>
        </w:rPr>
        <w:t xml:space="preserve">Outcome measures: the 10 individual MDCH (material deprivation of children) items, the official DWP MDCH flag, and three composite indices constructed for this project — mdch_any (≥1 item lacking), mdch_count (mean items lacking), mdch_severe (≥3 items lacking).</w:t>
      </w:r>
    </w:p>
    <w:p>
      <w:pPr>
        <w:pStyle w:val="Heading1"/>
      </w:pPr>
      <w:r>
        <w:t xml:space="preserve">2. Data &amp; Measurement</w:t>
      </w:r>
    </w:p>
    <w:p>
      <w:pPr>
        <w:spacing w:after="160"/>
      </w:pPr>
      <w:r>
        <w:rPr>
          <w:rFonts w:ascii="Arial" w:cs="Arial" w:eastAsia="Arial" w:hAnsi="Arial"/>
          <w:sz w:val="22"/>
          <w:szCs w:val="22"/>
        </w:rPr>
        <w:t xml:space="preserve">The MDCH methodology changed at FYE2024, splitting the sample between an old (pre-2024, 21-item, threshold≥25) and new (11+11 item, simple count, threshold≥4) question design; the item-level and composite variables used here account for this transition.</w:t>
      </w:r>
    </w:p>
    <w:p>
      <w:pPr>
        <w:spacing w:after="200"/>
      </w:pPr>
      <w:r>
        <w:rPr>
          <w:rFonts w:ascii="Arial" w:cs="Arial" w:eastAsia="Arial" w:hAnsi="Arial"/>
          <w:i/>
          <w:iCs/>
          <w:color w:val="555555"/>
          <w:sz w:val="20"/>
          <w:szCs w:val="20"/>
        </w:rPr>
        <w:t xml:space="preserve">Open item (feedback point 1, not yet investigated): whether the official MDCH flag is computed consistently across Scotland and England — e.g. whether region-specific necessities (such as a winter coat) are weighted the same way. This still needs checking before the write-up can claim measurement consistency.</w:t>
      </w:r>
    </w:p>
    <w:p>
      <w:pPr>
        <w:pStyle w:val="Heading1"/>
      </w:pPr>
      <w:r>
        <w:t xml:space="preserve">3. Stage 1 — Baseline Difference-in-Differences</w:t>
      </w:r>
    </w:p>
    <w:p>
      <w:pPr>
        <w:spacing w:after="160"/>
      </w:pPr>
      <w:r>
        <w:rPr>
          <w:rFonts w:ascii="Arial" w:cs="Arial" w:eastAsia="Arial" w:hAnsi="Arial"/>
          <w:sz w:val="22"/>
          <w:szCs w:val="22"/>
        </w:rPr>
        <w:t xml:space="preserve">Specification: feols(outcome ~ treated + tp | YEAR_f), weighted by GS_INDCH (child-level survey weight), standard errors clustered at household (SERNUM). 'tp' = treated × post is the DiD coefficient of interest. 'Simple' = no additional covariates beyond the DiD terms and year fixed effects; 'Adjusted' adds the demographic/benefit/income covariate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Simple</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Adjusted</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Official MDCH flag</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−0.0480**</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−0.0516**</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mdch_any (≥1 item)</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−0.0387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−0.0506*</w:t>
            </w:r>
          </w:p>
        </w:tc>
      </w:tr>
    </w:tbl>
    <w:p>
      <w:pPr>
        <w:spacing w:after="200"/>
      </w:pPr>
      <w:r>
        <w:rPr>
          <w:rFonts w:ascii="Arial" w:cs="Arial" w:eastAsia="Arial" w:hAnsi="Arial"/>
          <w:i/>
          <w:iCs/>
          <w:color w:val="555555"/>
          <w:sz w:val="20"/>
          <w:szCs w:val="20"/>
        </w:rPr>
        <w:t xml:space="preserve">mdch_count, mdch_severe and item-level coefficients are recorded in tables/ (03_did_replication.R output) rather than reproduced here.</w:t>
      </w:r>
    </w:p>
    <w:p>
      <w:pPr>
        <w:spacing w:after="160"/>
      </w:pPr>
      <w:r>
        <w:rPr>
          <w:rFonts w:ascii="Arial" w:cs="Arial" w:eastAsia="Arial" w:hAnsi="Arial"/>
          <w:sz w:val="22"/>
          <w:szCs w:val="22"/>
        </w:rPr>
        <w:t xml:space="preserve">Item-level results: none of the 10 individual MDCH items reach significance after Benjamini-Hochberg FDR correction across the 10 tests. The effect reads as a broad, general reduction in deprivation rather than being driven by any single item — consistent with the composite result above.</w:t>
      </w:r>
    </w:p>
    <w:p>
      <w:pPr>
        <w:spacing w:after="160"/>
      </w:pPr>
      <w:r>
        <w:rPr>
          <w:rFonts w:ascii="Arial" w:cs="Arial" w:eastAsia="Arial" w:hAnsi="Arial"/>
          <w:sz w:val="22"/>
          <w:szCs w:val="22"/>
        </w:rPr>
        <w:t xml:space="preserve">An event-study version of this specification (year-by-year effects) is also implemented in 03_did_replication.R.</w:t>
      </w:r>
    </w:p>
    <w:p>
      <w:pPr>
        <w:pStyle w:val="Heading1"/>
      </w:pPr>
      <w:r>
        <w:t xml:space="preserve">4. Identification Validity — Parallel Trends</w:t>
      </w:r>
    </w:p>
    <w:p>
      <w:pPr>
        <w:spacing w:after="160"/>
      </w:pPr>
      <w:r>
        <w:rPr>
          <w:rFonts w:ascii="Arial" w:cs="Arial" w:eastAsia="Arial" w:hAnsi="Arial"/>
          <w:sz w:val="22"/>
          <w:szCs w:val="22"/>
        </w:rPr>
        <w:t xml:space="preserve">This is worth documenting as a methodological finding in its own right, not just a robustness footnote.</w:t>
      </w:r>
    </w:p>
    <w:p>
      <w:pPr>
        <w:pStyle w:val="Heading2"/>
      </w:pPr>
      <w:r>
        <w:t xml:space="preserve">4.1 The problem</w:t>
      </w:r>
    </w:p>
    <w:p>
      <w:pPr>
        <w:spacing w:after="160"/>
      </w:pPr>
      <w:r>
        <w:rPr>
          <w:rFonts w:ascii="Arial" w:cs="Arial" w:eastAsia="Arial" w:hAnsi="Arial"/>
          <w:sz w:val="22"/>
          <w:szCs w:val="22"/>
        </w:rPr>
        <w:t xml:space="preserve">Initial pre-trend diagnostics (region-clustered standard errors, i.e. clustering at GVTREGN with only 10 regions and Scotland the sole treated one) flagged almost every covariate and outcome as a “possible pre-trend” — including purely demographic covariates with no plausible policy channel to SCP.</w:t>
      </w:r>
    </w:p>
    <w:p>
      <w:pPr>
        <w:pStyle w:val="Heading2"/>
      </w:pPr>
      <w:r>
        <w:t xml:space="preserve">4.2 Diagnosis</w:t>
      </w:r>
    </w:p>
    <w:p>
      <w:pPr>
        <w:pStyle w:val="ListParagraph"/>
        <w:numPr>
          <w:ilvl w:val="0"/>
          <w:numId w:val="2"/>
        </w:numPr>
        <w:spacing w:after="100"/>
      </w:pPr>
      <w:r>
        <w:rPr>
          <w:rFonts w:ascii="Arial" w:cs="Arial" w:eastAsia="Arial" w:hAnsi="Arial"/>
          <w:sz w:val="22"/>
          <w:szCs w:val="22"/>
        </w:rPr>
        <w:t xml:space="preserve">Pure demographic covariates (e.g. AGE, SEX) with no policy channel were also flagged — a strong signal the test itself was miscalibrated, not that trends were genuinely diverging.</w:t>
      </w:r>
    </w:p>
    <w:p>
      <w:pPr>
        <w:pStyle w:val="ListParagraph"/>
        <w:numPr>
          <w:ilvl w:val="0"/>
          <w:numId w:val="2"/>
        </w:numPr>
        <w:spacing w:after="100"/>
      </w:pPr>
      <w:r>
        <w:rPr>
          <w:rFonts w:ascii="Arial" w:cs="Arial" w:eastAsia="Arial" w:hAnsi="Arial"/>
          <w:sz w:val="22"/>
          <w:szCs w:val="22"/>
        </w:rPr>
        <w:t xml:space="preserve">A placebo test reassigning “treated” status to each English region in turn found 89–100% of them “failed” the identical pre-trend test with no policy applied — and Scotland was not an outlier within that distribution.</w:t>
      </w:r>
    </w:p>
    <w:p>
      <w:pPr>
        <w:pStyle w:val="ListParagraph"/>
        <w:numPr>
          <w:ilvl w:val="0"/>
          <w:numId w:val="2"/>
        </w:numPr>
        <w:spacing w:after="100"/>
      </w:pPr>
      <w:r>
        <w:rPr>
          <w:rFonts w:ascii="Arial" w:cs="Arial" w:eastAsia="Arial" w:hAnsi="Arial"/>
          <w:sz w:val="22"/>
          <w:szCs w:val="22"/>
        </w:rPr>
        <w:t xml:space="preserve">Switching to alternate standard errors (household-clustered, heteroskedasticity-robust) cleared the flags entirely.</w:t>
      </w:r>
    </w:p>
    <w:p>
      <w:pPr>
        <w:spacing w:after="160"/>
      </w:pPr>
      <w:r>
        <w:rPr>
          <w:rFonts w:ascii="Arial" w:cs="Arial" w:eastAsia="Arial" w:hAnsi="Arial"/>
          <w:sz w:val="22"/>
          <w:szCs w:val="22"/>
        </w:rPr>
        <w:t xml:space="preserve">This is the well-documented few-clusters / single-treated-cluster problem in cluster-robust inference (Cameron &amp; Miller 2015; Conley &amp; Taber 2011; MacKinnon &amp; Webb 2018): with only 10 clusters and Scotland the only treated one, standard cluster-robust joint Wald tests are anti-conservative (over-reject).</w:t>
      </w:r>
    </w:p>
    <w:p>
      <w:pPr>
        <w:pStyle w:val="Heading2"/>
      </w:pPr>
      <w:r>
        <w:t xml:space="preserve">4.3 Resolution</w:t>
      </w:r>
    </w:p>
    <w:p>
      <w:pPr>
        <w:spacing w:after="160"/>
      </w:pPr>
      <w:r>
        <w:rPr>
          <w:rFonts w:ascii="Arial" w:cs="Arial" w:eastAsia="Arial" w:hAnsi="Arial"/>
          <w:sz w:val="22"/>
          <w:szCs w:val="22"/>
        </w:rPr>
        <w:t xml:space="preserve">A wild cluster bootstrap was investigated as an alternative but abandoned: the joint-hypothesis implementation in the available R packages requires a Julia backend with no pure-R path, and with a single treated cluster the test would be underpowered regardless (MacKinnon &amp; Webb 2018). Standard errors were instead re-clustered at household (SERNUM) throughout the pipeline (03_did_replication.R, 04_dml_did.R, 05_parallel_trends.R) — which is also the econometrically correct level given that siblings in the same household share identical deprivation answers (a textbook Moulton-problem case).</w:t>
      </w:r>
    </w:p>
    <w:p>
      <w:pPr>
        <w:spacing w:after="160"/>
      </w:pPr>
      <w:r>
        <w:rPr>
          <w:rFonts w:ascii="Arial" w:cs="Arial" w:eastAsia="Arial" w:hAnsi="Arial"/>
          <w:sz w:val="22"/>
          <w:szCs w:val="22"/>
        </w:rPr>
        <w:t xml:space="preserve">Result: all 21 pre-trend tests (6 covariates + 15 outcomes, table_A2/table_A3) now pass cleanly under household clustering.</w:t>
      </w:r>
    </w:p>
    <w:p>
      <w:pPr>
        <w:pStyle w:val="Heading1"/>
      </w:pPr>
      <w:r>
        <w:t xml:space="preserve">5. Stage 2 — Doubly-Robust Cross-Check</w:t>
      </w:r>
    </w:p>
    <w:p>
      <w:pPr>
        <w:spacing w:after="160"/>
      </w:pPr>
      <w:r>
        <w:rPr>
          <w:rFonts w:ascii="Arial" w:cs="Arial" w:eastAsia="Arial" w:hAnsi="Arial"/>
          <w:sz w:val="22"/>
          <w:szCs w:val="22"/>
        </w:rPr>
        <w:t xml:space="preserve">Method: Callaway &amp; Sant’Anna (2021) group-time ATT framework, estimated via the Sant’Anna &amp; Zhao (2020) doubly-robust DiD estimator for repeated cross-sections (att_gt(panel = FALSE), R package ‘did’). This is the same orthogonal-score family that Double/Debiased ML is built on, without requiring individual-level panel linkage.</w:t>
      </w:r>
    </w:p>
    <w:p>
      <w:pPr>
        <w:spacing w:after="160"/>
      </w:pPr>
      <w:r>
        <w:rPr>
          <w:rFonts w:ascii="Arial" w:cs="Arial" w:eastAsia="Arial" w:hAnsi="Arial"/>
          <w:sz w:val="22"/>
          <w:szCs w:val="22"/>
        </w:rPr>
        <w:t xml:space="preserve">Two covariate specifications are reported: ‘Unconditional’ (no covariates — the stable baseline) and ‘Adjusted’ (a lean, z-scored set: age, number of children, adults in household, income before/after housing costs, housing costs, disability). A richer ~29-feature set was tried first and produced singular/ill-conditioned propensity matrices in every comparison cell — DR-DiD fits a separate model within each period-pair comparison, a much sparser slice of data than a single pooled OLS regression, so dummy blocks that are fine in Stage 1 become rank-deficient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Unconditional</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Adjusted</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deprivation (≥1 item)</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−0.0797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−0.0994**</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items lacking</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−0.0774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−0.0740 (n.s.)</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Severe deprivation (≥3 items)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0.0235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0.0209 (n.s.)</w:t>
            </w:r>
          </w:p>
        </w:tc>
      </w:tr>
    </w:tbl>
    <w:p>
      <w:pPr>
        <w:spacing w:after="160"/>
      </w:pPr>
      <w:r>
        <w:rPr>
          <w:rFonts w:ascii="Arial" w:cs="Arial" w:eastAsia="Arial" w:hAnsi="Arial"/>
          <w:sz w:val="22"/>
          <w:szCs w:val="22"/>
        </w:rPr>
        <w:t xml:space="preserve">Direction and rough magnitude agree with the Stage 1 OLS estimates; the adjusted composite is significant at 5%. No individual item survives BH-FDR correction in either specification, again matching Stage 1. This is genuine triangulation across two different estimators converging on the same story, not a repeated calculation.</w:t>
      </w:r>
    </w:p>
    <w:p>
      <w:pPr>
        <w:pStyle w:val="Heading1"/>
      </w:pPr>
      <w:r>
        <w:t xml:space="preserve">6. Stage 3 — Age-Cohort Staggered DiD — True Two-Phase Rollout Robustness</w:t>
      </w:r>
    </w:p>
    <w:p>
      <w:pPr>
        <w:spacing w:after="160"/>
      </w:pPr>
      <w:r>
        <w:rPr>
          <w:rFonts w:ascii="Arial" w:cs="Arial" w:eastAsia="Arial" w:hAnsi="Arial"/>
          <w:sz w:val="22"/>
          <w:szCs w:val="22"/>
        </w:rPr>
        <w:t xml:space="preserve">Every result in Sections 3–5 uses a single treatment date for all of Scotland (post = YEAR ≥ 2023). In reality SCP rolled out in two age-based phases: under-6s became eligible from 15 February 2021 (£10/week, rising to £20/week from April 2022); full extension to all under-16s followed on 14 November 2022. HBAI's YEAR variable is financial-year-ending (YEAR = YEAR_CODE + 1994), so YEAR==2023 is FY2022/23 and YEAR==2022 is FY2021/22. YEAR==2021 (FY2020/21, which contains the Phase 1 start date) is already dropped from the sample for COVID survey disruption — so the first surviving year in which under-6 Scottish children are treated for the whole year is YEAR==2022, a year the single-cutoff spec codes entirely as ‘pre’ for every Scottish child regardless of age.</w:t>
      </w:r>
    </w:p>
    <w:p>
      <w:pPr>
        <w:spacing w:after="160"/>
      </w:pPr>
      <w:r>
        <w:rPr>
          <w:rFonts w:ascii="Arial" w:cs="Arial" w:eastAsia="Arial" w:hAnsi="Arial"/>
          <w:sz w:val="22"/>
          <w:szCs w:val="22"/>
        </w:rPr>
        <w:t xml:space="preserve">Per the agreed approach, the single-cutoff spec in Sections 3–5 is kept as the headline result and is not altered. This section adds a properly-specified robustness analysis (04c_agecohort_staggered_did.R) that assigns each Scottish child's ‘first treated period’ (the did package's gname) by age band observed at each survey wave: age under 6 → first_treat = 2022 (Phase 1 cohort); age 6–16 → first_treat = 2023 (Phase 2 cohort); England (any age) → never-treated control. This is valid for repeated-cross-section Callaway &amp; Sant’Anna estimation, which only needs a group and a period per observation, not individual panel linkage — the same att_gt() machinery from Section 5 is reused, minus AGE as a covariate since it now defines the group itself. The official DWP MDCH flag (Section 3's ‘Official MDCH flag’ row) is included here alongside the three homemade composites; see the caveat below.</w:t>
      </w:r>
    </w:p>
    <w:p>
      <w:pPr>
        <w:pStyle w:val="Heading2"/>
      </w:pPr>
      <w:r>
        <w:t xml:space="preserve">6.1 Results — Unconditional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Pooled</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Under-6 (Phase 1)</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6-16 (Phase 2)</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Official MDCH flag</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−0.0294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−0.0143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−0.0425 (n.s.)</w:t>
            </w:r>
          </w:p>
        </w:tc>
      </w:tr>
      <w:tr>
        <w:tc>
          <w:tcPr>
            <w:tcW w:type="dxa" w:w="24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Any deprivation (≥1 item)</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−0.0639 (p=0.071)*</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−0.0273 (n.s.)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−0.0955 (p=0.087)*</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Mean items lacking</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−0.0847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−0.0303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−0.1318 (n.s.)</w:t>
            </w:r>
          </w:p>
        </w:tc>
      </w:tr>
      <w:tr>
        <w:tc>
          <w:tcPr>
            <w:tcW w:type="dxa" w:w="24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Severe deprivation (≥3 items)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0.0033 (n.s.)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−0.0131 (n.s.)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0.0174 (n.s.)</w:t>
            </w:r>
          </w:p>
        </w:tc>
      </w:tr>
    </w:tbl>
    <w:p>
      <w:pPr>
        <w:spacing w:after="160"/>
      </w:pPr>
      <w:r>
        <w:rPr>
          <w:rFonts w:ascii="Arial" w:cs="Arial" w:eastAsia="Arial" w:hAnsi="Arial"/>
          <w:sz w:val="22"/>
          <w:szCs w:val="22"/>
        </w:rPr>
        <w:t xml:space="preserve">Pooled staggered ATT for ‘any deprivation’ is directionally consistent with the Section 5 headline (−0.08 to −0.10 vs −0.06 to −0.08 here) but the effect is clearly concentrated in the 6–16 (Phase 2) cohort rather than spread evenly across ages — the under-6 (Phase 1) cohort's coefficient is roughly a third the size and not significant in either spec.</w:t>
      </w:r>
    </w:p>
    <w:p>
      <w:pPr>
        <w:pStyle w:val="Heading2"/>
      </w:pPr>
      <w:r>
        <w:t xml:space="preserve">6.2 Results — Adjusted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Pooled</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Under-6 (Phase 1)</w:t>
            </w:r>
          </w:p>
        </w:tc>
        <w:tc>
          <w:tcPr>
            <w:tcW w:type="dxa" w:w="232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6-16 (Phase 2)</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Official MDCH flag</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−0.0218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−0.0012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−0.0396 (n.s.)</w:t>
            </w:r>
          </w:p>
        </w:tc>
      </w:tr>
      <w:tr>
        <w:tc>
          <w:tcPr>
            <w:tcW w:type="dxa" w:w="24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Any deprivation (≥1 item)</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−0.0792** (p=0.027)</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−0.0422 (n.s.)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−0.1109** (p=0.046)</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Mean items lacking</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−0.0880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−0.0402 (n.s.)</w:t>
            </w:r>
          </w:p>
        </w:tc>
        <w:tc>
          <w:tcPr>
            <w:tcW w:type="dxa" w:w="232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−0.1290 (n.s.)</w:t>
            </w:r>
          </w:p>
        </w:tc>
      </w:tr>
      <w:tr>
        <w:tc>
          <w:tcPr>
            <w:tcW w:type="dxa" w:w="24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Severe deprivation (≥3 items)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0.0029 (n.s.)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−0.0102 (n.s.)</w:t>
            </w:r>
          </w:p>
        </w:tc>
        <w:tc>
          <w:tcPr>
            <w:tcW w:type="dxa" w:w="232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0.0141 (n.s.)</w:t>
            </w:r>
          </w:p>
        </w:tc>
      </w:tr>
    </w:tbl>
    <w:p>
      <w:pPr>
        <w:spacing w:after="160"/>
      </w:pPr>
      <w:r>
        <w:rPr>
          <w:rFonts w:ascii="Arial" w:cs="Arial" w:eastAsia="Arial" w:hAnsi="Arial"/>
          <w:sz w:val="22"/>
          <w:szCs w:val="22"/>
        </w:rPr>
        <w:t xml:space="preserve">Same pattern under the adjusted (lean, z-scored covariate) spec: the 6–16 cohort estimate for ‘any deprivation’ (−0.1109**, p=0.046) is larger and more precisely estimated than the under-6 cohort (−0.0422, n.s.), and slightly larger than the pooled staggered ATT (−0.0792**) or the Section 5 single-cutoff headline (−0.0994**). mdch_count and mdch_severe show the same directional split but reach significance in neither cohort under either spec.</w:t>
      </w:r>
    </w:p>
    <w:p>
      <w:pPr>
        <w:spacing w:after="160"/>
      </w:pPr>
      <w:r>
        <w:rPr>
          <w:rFonts w:ascii="Arial" w:cs="Arial" w:eastAsia="Arial" w:hAnsi="Arial"/>
          <w:sz w:val="22"/>
          <w:szCs w:val="22"/>
        </w:rPr>
        <w:t xml:space="preserve">The official MDCH flag, by contrast, is not significant in the pooled estimate or either cohort under either spec (pooled: −0.029 unconditional / −0.022 adjusted, both n.s.) — despite Section 3's single-cutoff OLS finding a significant effect on this same flag (−0.0480**/−0.0516**). Two candidate explanations, not mutually exclusive: (1) MDCH requires crossing a weighted threshold across ~21 items, a coarser bar than ‘any of 10 items lacking’ — a modest reduction concentrated in a few items may not be enough to move households across it; (2) the FYE2024 MDCH methodology change (see caveat below) adds definitional noise to the post-period specifically for this outcome, which the doubly-robust estimator's smaller effective per-cell samples are more sensitive to than the pooled Stage 1 OLS regression. Worth investigating further, not yet resolved.</w:t>
      </w:r>
    </w:p>
    <w:p>
      <w:pPr>
        <w:spacing w:after="160"/>
      </w:pPr>
      <w:r>
        <w:rPr>
          <w:rFonts w:ascii="Arial" w:cs="Arial" w:eastAsia="Arial" w:hAnsi="Arial"/>
          <w:sz w:val="22"/>
          <w:szCs w:val="22"/>
        </w:rPr>
        <w:t xml:space="preserve">Interpretation: correctly specifying treatment timing does not overturn the headline conclusion (SCP reduces ‘any deprivation’), but adds two genuine findings — the detectable effect on the homemade composites is concentrated among school-age (6–16) children, the group covered by Phase 2, rather than under-6s who have been covered for longer under Phase 1; and the effect is considerably less robust when measured via the official MDCH flag rather than the homemade ‘any deprivation’ measure once treatment timing is correctly specified. Plausible reading for the age split: several MDCH items (school equipment, celebrations, trips, outdoor play) are more directly relevant to school-age children's material needs than to under-6s. Both points are worth developing further in the discussion chapter rather than treated as noise.</w:t>
      </w:r>
    </w:p>
    <w:p>
      <w:pPr>
        <w:spacing w:after="200"/>
      </w:pPr>
      <w:r>
        <w:rPr>
          <w:rFonts w:ascii="Arial" w:cs="Arial" w:eastAsia="Arial" w:hAnsi="Arial"/>
          <w:i/>
          <w:iCs/>
          <w:color w:val="555555"/>
          <w:sz w:val="20"/>
          <w:szCs w:val="20"/>
        </w:rPr>
        <w:t xml:space="preserve">Caveats, reported honestly: (1) as in Section 5, the analytical Wald pre-trend test is not reported when clustering beyond the unit level (clustervars = SERNUM), so pretrend_pval is NA throughout — the same known limitation, not a new issue specific to this spec. (2) YEAR==2022 is not a fully clean pre-period for the 6–16 cohort either: ~145,000 school-age children received one-off Scottish Child Bridging Payments (~£520/year) in 2021–2022, before Phase 2's ongoing weekly SCP began in November 2022. This is a smaller, one-off transfer rather than an ongoing weekly payment, so the contamination is real but likely modest — flagged here, not corrected for. (3) The official MDCH flag changed definition at FYE2024 (old 21-item/threshold≥25 design vs new 11+11-item/threshold≥4 design), and both cohorts' post-periods straddle that break (under-6: 2022–2025, 6–16: 2023–2025) — the homemade composites were built from individual items specifically to stay consistent across it, MDCH was not.</w:t>
      </w:r>
    </w:p>
    <w:p>
      <w:pPr>
        <w:pStyle w:val="Heading1"/>
      </w:pPr>
      <w:r>
        <w:t xml:space="preserve">7. Stage 4 — Stacked Item-Level DiD — Household-Clustered Joint Model</w:t>
      </w:r>
    </w:p>
    <w:p>
      <w:pPr>
        <w:spacing w:after="160"/>
      </w:pPr>
      <w:r>
        <w:rPr>
          <w:rFonts w:ascii="Arial" w:cs="Arial" w:eastAsia="Arial" w:hAnsi="Arial"/>
          <w:sz w:val="22"/>
          <w:szCs w:val="22"/>
        </w:rPr>
        <w:t xml:space="preserve">Section 3's item table and the item-level DR-DiD table in Section 5 (04_dml_did.R) each fit the 10 MDCH items as 10 independent regressions, with BH-FDR correction applied to the resulting p-values afterwards. That treats each item's error term as unrelated to the others — but the same child answers all 10 deprivation questions, so their 10 answers are correlated, the same Moulton-problem logic that already justified household- over region-clustering in Section 4. 03b_stacked_item_did.R reshapes the 10 items into long format (one row per child-year-item, 368,640 rows from 16,099 children) and fits ONE joint regression with item and year fixed effects, clustered at household (SERNUM), so the SEs correctly account for that within-child correlation across items — something 10 separate regressions cannot do regardless of the multiple-testing correction applied afterwards. Uses the single-2023-cutoff treatment definition (same as Section 3), not the staggered gname from Section 6 — this is a reshaping/clustering fix, orthogonal to the treatment-timing question.</w:t>
      </w:r>
    </w:p>
    <w:p>
      <w:pPr>
        <w:pStyle w:val="Heading2"/>
      </w:pPr>
      <w:r>
        <w:t xml:space="preserve">7.1 Pooled spec — one average effect across all 10 items</w:t>
      </w:r>
    </w:p>
    <w:p>
      <w:pPr>
        <w:spacing w:after="160"/>
      </w:pPr>
      <w:r>
        <w:rPr>
          <w:rFonts w:ascii="Arial" w:cs="Arial" w:eastAsia="Arial" w:hAnsi="Arial"/>
          <w:sz w:val="22"/>
          <w:szCs w:val="22"/>
        </w:rPr>
        <w:t xml:space="preserve">item_value ~ treated + tp | YEAR_f + item_f. Simple: −0.0053 (SE 0.0089, p=0.551, n.s.). Adjusted: −0.0033 (SE 0.0087, p=0.706, n.s.). Neither reaches significance.</w:t>
      </w:r>
    </w:p>
    <w:p>
      <w:pPr>
        <w:pStyle w:val="Heading2"/>
      </w:pPr>
      <w:r>
        <w:t xml:space="preserve">7.2 Item-interacted spec — one coefficient per item, one joint model</w:t>
      </w:r>
    </w:p>
    <w:p>
      <w:pPr>
        <w:spacing w:after="160"/>
      </w:pPr>
      <w:r>
        <w:rPr>
          <w:rFonts w:ascii="Arial" w:cs="Arial" w:eastAsia="Arial" w:hAnsi="Arial"/>
          <w:sz w:val="22"/>
          <w:szCs w:val="22"/>
        </w:rPr>
        <w:t xml:space="preserve">item_value ~ treated + tp:item_f | YEAR_f + item_f — item_f's main effect is absorbed by the fixed effect, so tp:item_f needs no reference item dropped; every item gets its own directly-estimated coefficient.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Simple</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Adjusted</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Bed / bedroom</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−0.0501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−0.0503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Celebrations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−0.0058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−0.0029 (n.s.)</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Warm coat</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−0.0039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−0.0009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School equipment</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0.0108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0.0148 (n.s.)</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Holiday away</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−0.0290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−0.0313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Indoor play / games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0.0093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0.0089 (n.s.)</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Outdoor play area</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−0.0030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0.0008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Fresh fruit / veg</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−0.0200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−0.0164 (n.s.)</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Trips / outings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0.0019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0.0001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Vegetables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0.0048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0.0082 (n.s.)</w:t>
            </w:r>
          </w:p>
        </w:tc>
      </w:tr>
    </w:tbl>
    <w:p>
      <w:pPr>
        <w:spacing w:after="160"/>
      </w:pPr>
      <w:r>
        <w:rPr>
          <w:rFonts w:ascii="Arial" w:cs="Arial" w:eastAsia="Arial" w:hAnsi="Arial"/>
          <w:sz w:val="22"/>
          <w:szCs w:val="22"/>
        </w:rPr>
        <w:t xml:space="preserve">No item reaches significance in either spec. Joint Wald test (H0: all 10 item-specific effects are jointly zero): Simple — stat=0.940 on 10 and 16,098 DoF, p=0.494; Adjusted — stat=0.961 on 10 and 15,953 DoF, p=0.475. No evidence that any item, individually or jointly, differs from zero.</w:t>
      </w:r>
    </w:p>
    <w:p>
      <w:pPr>
        <w:pStyle w:val="Heading2"/>
      </w:pPr>
      <w:r>
        <w:t xml:space="preserve">7.3 Interpretation</w:t>
      </w:r>
    </w:p>
    <w:p>
      <w:pPr>
        <w:spacing w:after="160"/>
      </w:pPr>
      <w:r>
        <w:rPr>
          <w:rFonts w:ascii="Arial" w:cs="Arial" w:eastAsia="Arial" w:hAnsi="Arial"/>
          <w:sz w:val="22"/>
          <w:szCs w:val="22"/>
        </w:rPr>
        <w:t xml:space="preserve">This corroborates, more rigorously, what Section 3's BH-FDR-corrected item table already suggested ("the effect reads as a broad, general reduction ... rather than being driven by any single item") — the joint Wald test here is a properly-clustered, direct test of exactly that claim, not an indirect inference from 10 separate p-values, and it confirms it.</w:t>
      </w:r>
    </w:p>
    <w:p>
      <w:pPr>
        <w:spacing w:after="160"/>
      </w:pPr>
      <w:r>
        <w:rPr>
          <w:rFonts w:ascii="Arial" w:cs="Arial" w:eastAsia="Arial" w:hAnsi="Arial"/>
          <w:sz w:val="22"/>
          <w:szCs w:val="22"/>
        </w:rPr>
        <w:t xml:space="preserve">On scale: the pooled per-item probability effect (~−0.005), multiplied across the ~10 items a child can lack, implies roughly a −0.03 to −0.05 point change in mean items lacking — the same direction and a similar order of magnitude to mdch_count's DiD coefficient (−0.08 to −0.13 across every spec in Sections 3, 5 and 6), which has also never reached significance anywhere in this pipeline. The pooled/item-interacted results here are consistent with mdch_count, not with mdch_any.</w:t>
      </w:r>
    </w:p>
    <w:p>
      <w:pPr>
        <w:spacing w:after="200"/>
      </w:pPr>
      <w:r>
        <w:rPr>
          <w:rFonts w:ascii="Arial" w:cs="Arial" w:eastAsia="Arial" w:hAnsi="Arial"/>
          <w:i/>
          <w:iCs/>
          <w:color w:val="555555"/>
          <w:sz w:val="20"/>
          <w:szCs w:val="20"/>
        </w:rPr>
        <w:t xml:space="preserve">That contrast — mdch_any significant, mdch_count and the stacked item-level model not — is itself worth developing in the discussion chapter. mdch_any measures whether a child lacks AT LEAST ONE of 10 items (a union/OR-type measure), which is far more sensitive to a small, diffuse reduction spread thinly and inconsistently across many items than either an average per-item probability or a summed count is. A plausible reading: SCP produces a broad-based reduction across many small margins rather than moving any single item (or the average item) by an individually detectable amount — which is exactly the kind of effect an ‘any-of-N’ measure is best suited to pick up, and a per-item or summed measure is not. This is a genuine finding about which outcome definition is doing the empirical work here, not a contradiction between specs.</w:t>
      </w:r>
    </w:p>
    <w:p>
      <w:pPr>
        <w:pStyle w:val="Heading2"/>
      </w:pPr>
      <w:r>
        <w:t xml:space="preserve">7.4 Does the age-cohort split explain the item-level diffuseness?</w:t>
      </w:r>
    </w:p>
    <w:p>
      <w:pPr>
        <w:spacing w:after="160"/>
      </w:pPr>
      <w:r>
        <w:rPr>
          <w:rFonts w:ascii="Arial" w:cs="Arial" w:eastAsia="Arial" w:hAnsi="Arial"/>
          <w:sz w:val="22"/>
          <w:szCs w:val="22"/>
        </w:rPr>
        <w:t xml:space="preserve">Section 6 found the significant mdch_any effect concentrated in the 6-16 (Phase 2) cohort; 7.1-7.3 found no single item, nor the joint set of items, significant when both cohorts are pooled together. The natural follow-up: is the item-level nullity actually masking a cohort-specific concentration? 03c_agecohort_stacked_item_did.R combines both — the same household-clustered, item-and-year-fixed-effects joint model as Section 7, but with each row's treatment timing now assigned by age cohort (age under 6 treated from 2022, age 6-16 from 2023, as in Section 6) rather than a single 2023 cutoff, and every child (Scotland and England) assigned a matching age-cohort fixed effect.</w:t>
      </w:r>
    </w:p>
    <w:p>
      <w:pPr>
        <w:spacing w:after="160"/>
      </w:pPr>
      <w:r>
        <w:rPr>
          <w:rFonts w:ascii="Arial" w:cs="Arial" w:eastAsia="Arial" w:hAnsi="Arial"/>
          <w:sz w:val="22"/>
          <w:szCs w:val="22"/>
        </w:rPr>
        <w:t xml:space="preserve">Cohort-pooled (average effect across all 10 items, per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Cohort</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Simple</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Adjusted</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Age6to16 (Phase 2)</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−0.0132 (n.s.)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−0.0107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Under6 (Phase 1)</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0.0030 (n.s.)</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0.0043 (n.s.)</w:t>
            </w:r>
          </w:p>
        </w:tc>
      </w:tr>
    </w:tbl>
    <w:p>
      <w:pPr>
        <w:spacing w:after="160"/>
      </w:pPr>
      <w:r>
        <w:rPr>
          <w:rFonts w:ascii="Arial" w:cs="Arial" w:eastAsia="Arial" w:hAnsi="Arial"/>
          <w:sz w:val="22"/>
          <w:szCs w:val="22"/>
        </w:rPr>
        <w:t xml:space="preserve">Neither cohort's pooled item-level average reaches significance, but the direction differs: Age6to16 is consistently negative in both specs; Under6 is essentially flat, slightly positive. Item x cohort breakdown: two items cross the 5-10% threshold, both in the Age6to16 cohort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Age6to16</w:t>
            </w:r>
          </w:p>
        </w:tc>
        <w:tc>
          <w:tcPr>
            <w:tcW w:type="dxa" w:w="2880"/>
            <w:tcBorders>
              <w:top w:val="single" w:color="CCCCCC" w:sz="2"/>
              <w:left w:val="single" w:color="CCCCCC" w:sz="2"/>
              <w:bottom w:val="single" w:color="CCCCCC" w:sz="2"/>
              <w:right w:val="single" w:color="CCCCCC" w:sz="2"/>
            </w:tcBorders>
            <w:shd w:fill="1F4E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Under6</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Holiday away</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−0.0584 (p=0.050)* / −0.0610** adj</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0.0162 (n.s.)</w:t>
            </w:r>
          </w:p>
        </w:tc>
      </w:tr>
      <w:tr>
        <w:tc>
          <w:tcPr>
            <w:tcW w:type="dxa" w:w="360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Fresh fruit / veg</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−0.0307** (p=0.049) / −0.0258* adj</w:t>
            </w:r>
          </w:p>
        </w:tc>
        <w:tc>
          <w:tcPr>
            <w:tcW w:type="dxa" w:w="2880"/>
            <w:tcBorders>
              <w:top w:val="single" w:color="CCCCCC" w:sz="2"/>
              <w:left w:val="single" w:color="CCCCCC" w:sz="2"/>
              <w:bottom w:val="single" w:color="CCCCCC" w:sz="2"/>
              <w:right w:val="single" w:color="CCCCCC" w:sz="2"/>
            </w:tcBorders>
            <w:shd w:fill="E8EE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0.0171 (n.s.)</w:t>
            </w:r>
          </w:p>
        </w:tc>
      </w:tr>
      <w:tr>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other 8 items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n.s. in both specs</w:t>
            </w:r>
          </w:p>
        </w:tc>
        <w:tc>
          <w:tcPr>
            <w:tcW w:type="dxa" w:w="2880"/>
            <w:tcBorders>
              <w:top w:val="single" w:color="CCCCCC" w:sz="2"/>
              <w:left w:val="single" w:color="CCCCCC" w:sz="2"/>
              <w:bottom w:val="single" w:color="CCCCCC" w:sz="2"/>
              <w:right w:val="single" w:color="CCCCCC" w:sz="2"/>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n.s. in both specs</w:t>
            </w:r>
          </w:p>
        </w:tc>
      </w:tr>
    </w:tbl>
    <w:p>
      <w:pPr>
        <w:spacing w:after="160"/>
      </w:pPr>
      <w:r>
        <w:rPr>
          <w:rFonts w:ascii="Arial" w:cs="Arial" w:eastAsia="Arial" w:hAnsi="Arial"/>
          <w:sz w:val="22"/>
          <w:szCs w:val="22"/>
        </w:rPr>
        <w:t xml:space="preserve">Joint Wald test (all 10 item effects jointly zero, within cohort): Under6 — Simple stat=0.396 (p=0.949), Adjusted stat=0.316 (p=0.978), an almost total null, no signal anywhere close to conventional thresholds. Age6to16 — Simple stat=1.364 (p=0.190), Adjusted stat=1.384 (p=0.180): not significant at conventional levels, but the test statistic is roughly 3-4x larger than Under6's, and the p-value an order of magnitude closer to the 10% line.</w:t>
      </w:r>
    </w:p>
    <w:p>
      <w:pPr>
        <w:spacing w:after="200"/>
      </w:pPr>
      <w:r>
        <w:rPr>
          <w:rFonts w:ascii="Arial" w:cs="Arial" w:eastAsia="Arial" w:hAnsi="Arial"/>
          <w:i/>
          <w:iCs/>
          <w:color w:val="555555"/>
          <w:sz w:val="20"/>
          <w:szCs w:val="20"/>
        </w:rPr>
        <w:t xml:space="preserve">Partial answer: the item-level diffuseness is not uniform across cohorts. Under-6 shows an almost perfectly flat null at the item level, consistent with Section 6's finding that this cohort shows no detectable effect anywhere. The 6-16 cohort's joint test still falls short of significance, but is closer to it and is specifically driven by two substantively plausible items for a cash top-up to move for school-age children — holidays and food. This is suggestive rather than conclusive: splitting by item AND cohort AND country AND period pushes several cells (e.g. Bed/bedroom x Under6, SE=0.14) into genuinely low-power territory, so ‘not significant’ here should be read as underpowered, especially for Age6to16, rather than as evidence of a true zero. Full 20-coefficient breakdown in tables/agecohort_stacked_item_did.csv.</w:t>
      </w:r>
    </w:p>
    <w:p>
      <w:pPr>
        <w:pStyle w:val="Heading1"/>
      </w:pPr>
      <w:r>
        <w:t xml:space="preserve">8. Investigated — Double/Debiased Machine Learning for DiD</w:t>
      </w:r>
    </w:p>
    <w:p>
      <w:pPr>
        <w:spacing w:after="160"/>
      </w:pPr>
      <w:r>
        <w:rPr>
          <w:rFonts w:ascii="Arial" w:cs="Arial" w:eastAsia="Arial" w:hAnsi="Arial"/>
          <w:sz w:val="22"/>
          <w:szCs w:val="22"/>
        </w:rPr>
        <w:t xml:space="preserve">The original plan (as presented) was a literal ML-nuisance DML-DiD estimator (Random Forest / Lasso first stage). This section documents why that specific ambition was not fully realised, and what was tried.</w:t>
      </w:r>
    </w:p>
    <w:p>
      <w:pPr>
        <w:pStyle w:val="Heading2"/>
      </w:pPr>
      <w:r>
        <w:t xml:space="preserve">8.1 DoubleMLDID (R package ‘DoubleML’)</w:t>
      </w:r>
    </w:p>
    <w:p>
      <w:pPr>
        <w:spacing w:after="160"/>
      </w:pPr>
      <w:r>
        <w:rPr>
          <w:rFonts w:ascii="Arial" w:cs="Arial" w:eastAsia="Arial" w:hAnsi="Arial"/>
          <w:sz w:val="22"/>
          <w:szCs w:val="22"/>
        </w:rPr>
        <w:t xml:space="preserve">The current CRAN DoubleML package has no DoubleMLDID class and DoubleMLData$new() has no t_col argument. The package’s own DiD example (docs.doubleml.org) wraps DoubleMLIRM around individual-level y1−y0 outcome differences, which requires true panel data — the same person observed pre and post. HBAI/FRS repeated cross-sections cannot provide this (a different household is sampled each year).</w:t>
      </w:r>
    </w:p>
    <w:p>
      <w:pPr>
        <w:pStyle w:val="Heading2"/>
      </w:pPr>
      <w:r>
        <w:t xml:space="preserve">8.2 DoubleMLPLR on the treated×post interaction</w:t>
      </w:r>
    </w:p>
    <w:p>
      <w:pPr>
        <w:spacing w:after="160"/>
      </w:pPr>
      <w:r>
        <w:rPr>
          <w:rFonts w:ascii="Arial" w:cs="Arial" w:eastAsia="Arial" w:hAnsi="Arial"/>
          <w:sz w:val="22"/>
          <w:szCs w:val="22"/>
        </w:rPr>
        <w:t xml:space="preserve">The natural repeated-cross-section fallback — using the DiD interaction term itself as the ML target — fails structurally: once the covariate matrix includes both 'treated' and the year dummies that encode 'post', the interaction becomes an exact deterministic function of the covariates. A flexible learner predicts it with ~zero residual error, so the partialling-out estimator divides by ~zero variance — a positivity violation, not a tuning problem.</w:t>
      </w:r>
    </w:p>
    <w:p>
      <w:pPr>
        <w:pStyle w:val="Heading2"/>
      </w:pPr>
      <w:r>
        <w:t xml:space="preserve">8.3 ddml (Wiemann et al.) — genuine RF/XGBoost DiD</w:t>
      </w:r>
    </w:p>
    <w:p>
      <w:pPr>
        <w:spacing w:after="160"/>
      </w:pPr>
      <w:r>
        <w:rPr>
          <w:rFonts w:ascii="Arial" w:cs="Arial" w:eastAsia="Arial" w:hAnsi="Arial"/>
          <w:sz w:val="22"/>
          <w:szCs w:val="22"/>
        </w:rPr>
        <w:t xml:space="preserve">A real, actively maintained R package (ddml, via ddml_attgt()) implements genuine ML-nuisance (Random Forest, XGBoost, stacked ensembles) group-time ATT estimation, directly comparable to the did package. Its own documentation confirms it requires data as an n×T outcome matrix — the same cross-sectional units observed at every period. This is a panel-data requirement that repeated cross-sections structurally cannot satisfy.</w:t>
      </w:r>
    </w:p>
    <w:p>
      <w:pPr>
        <w:pStyle w:val="Heading2"/>
      </w:pPr>
      <w:r>
        <w:t xml:space="preserve">8.4 Chang (2020) RCS-DMLDiD — implemented and empirically ruled out</w:t>
      </w:r>
    </w:p>
    <w:p>
      <w:pPr>
        <w:spacing w:after="160"/>
      </w:pPr>
      <w:r>
        <w:rPr>
          <w:rFonts w:ascii="Arial" w:cs="Arial" w:eastAsia="Arial" w:hAnsi="Arial"/>
          <w:sz w:val="22"/>
          <w:szCs w:val="22"/>
        </w:rPr>
        <w:t xml:space="preserve">Chang (2020) does have an explicit repeated-cross-section estimator, and the author’s own reference implementation (github.com/NengChiehChang/Diff-in-Diff, RCS_Algorithm.R) is public: a Lasso-logistic propensity model plus a Lasso outcome model (fit on control units only, via Abadie’s (T−λ)Y trick), cross-fit and combined into a doubly-robust score — genuine Double/Debiased ML, applicable in principle to exactly this data structure.</w:t>
      </w:r>
    </w:p>
    <w:p>
      <w:pPr>
        <w:spacing w:after="160"/>
      </w:pPr>
      <w:r>
        <w:rPr>
          <w:rFonts w:ascii="Arial" w:cs="Arial" w:eastAsia="Arial" w:hAnsi="Arial"/>
          <w:sz w:val="22"/>
          <w:szCs w:val="22"/>
        </w:rPr>
        <w:t xml:space="preserve">This was adapted faithfully from the author’s code and run on mdch_any (B=20 repetitions, lean covariate set). Result: ATT = −0.3503 (SE 0.0455, p&lt;0.001) — 3.5 to 9× larger in magnitude than every other specification (OLS: −0.04 to −0.05; DR-DiD: −0.08 to −0.10), and tightly estimated around that implausible number across all 20 repetitions (a systematic bias, not sampling noise). A raw, no-covariate 2×2 group-mean DiD on the same sample gives −0.0196 — confirming the estimator itself is producing an unusable number, not an implementation bug.</w:t>
      </w:r>
    </w:p>
    <w:p>
      <w:pPr>
        <w:spacing w:after="160"/>
      </w:pPr>
      <w:r>
        <w:rPr>
          <w:rFonts w:ascii="Arial" w:cs="Arial" w:eastAsia="Arial" w:hAnsi="Arial"/>
          <w:sz w:val="22"/>
          <w:szCs w:val="22"/>
        </w:rPr>
        <w:t xml:space="preserve">This is consistent with Asami (2025), “Modified DMLDiD for Repeated Cross-Sections” (SSRN, under peer review), which documents a design concern in exactly this outcome-model specification and proposes a correction — without an available tested implementation as of this writing.</w:t>
      </w:r>
    </w:p>
    <w:p>
      <w:pPr>
        <w:pStyle w:val="Heading2"/>
      </w:pPr>
      <w:r>
        <w:t xml:space="preserve">8.5 Conclusion</w:t>
      </w:r>
    </w:p>
    <w:p>
      <w:pPr>
        <w:spacing w:after="160"/>
      </w:pPr>
      <w:r>
        <w:rPr>
          <w:rFonts w:ascii="Arial" w:cs="Arial" w:eastAsia="Arial" w:hAnsi="Arial"/>
          <w:sz w:val="22"/>
          <w:szCs w:val="22"/>
        </w:rPr>
        <w:t xml:space="preserve">A genuine ML-nuisance DiD estimator for repeated cross-sectional data is, at the time of writing, an open methodological question rather than a solved, safely implementable one: the established panel-based tools do not apply to this data structure, and the one published repeated-cross-section estimator demonstrably fails on data shaped like this dataset (imbalanced treated/control share, imbalanced pre/post share), corroborating a live, unresolved critique in the current literature. The Sant’Anna-Zhao doubly-robust estimator (Section 5) is retained as the validated, orthogonal-score-based robustness check; the DML investigation itself — including the empirical demonstration of the Chang estimator’s failure mode — is reported as a methodological contribution rather than treated as a dead end.</w:t>
      </w:r>
    </w:p>
    <w:p>
      <w:pPr>
        <w:pStyle w:val="Heading1"/>
      </w:pPr>
      <w:r>
        <w:t xml:space="preserve">9. Remaining Work</w:t>
      </w:r>
    </w:p>
    <w:p>
      <w:pPr>
        <w:pStyle w:val="Heading2"/>
      </w:pPr>
      <w:r>
        <w:t xml:space="preserve">9.1 Wales / Northern Ireland validity check (feedback point 2)</w:t>
      </w:r>
    </w:p>
    <w:p>
      <w:pPr>
        <w:spacing w:after="160"/>
      </w:pPr>
      <w:r>
        <w:rPr>
          <w:rFonts w:ascii="Arial" w:cs="Arial" w:eastAsia="Arial" w:hAnsi="Arial"/>
          <w:sz w:val="22"/>
          <w:szCs w:val="22"/>
        </w:rPr>
        <w:t xml:space="preserve">Secondary robustness check, not essential at this stage: relax the England/Scotland-only sample restriction to include Wales and NI as additional never-treated placebo comparisons. Not yet implemented.</w:t>
      </w:r>
    </w:p>
    <w:p>
      <w:pPr>
        <w:pStyle w:val="Heading2"/>
      </w:pPr>
      <w:r>
        <w:t xml:space="preserve">9.2 MDCH measurement-consistency check (feedback point 1)</w:t>
      </w:r>
    </w:p>
    <w:p>
      <w:pPr>
        <w:spacing w:after="160"/>
      </w:pPr>
      <w:r>
        <w:rPr>
          <w:rFonts w:ascii="Arial" w:cs="Arial" w:eastAsia="Arial" w:hAnsi="Arial"/>
          <w:sz w:val="22"/>
          <w:szCs w:val="22"/>
        </w:rPr>
        <w:t xml:space="preserve">Check whether the official MDCH flag is computed on a consistent basis across Scotland and England (e.g. regional necessity differences). Not yet started.</w:t>
      </w:r>
    </w:p>
    <w:p>
      <w:pPr>
        <w:pStyle w:val="Heading2"/>
      </w:pPr>
      <w:r>
        <w:t xml:space="preserve">9.3 Writing</w:t>
      </w:r>
    </w:p>
    <w:p>
      <w:pPr>
        <w:spacing w:after="160"/>
      </w:pPr>
      <w:r>
        <w:rPr>
          <w:rFonts w:ascii="Arial" w:cs="Arial" w:eastAsia="Arial" w:hAnsi="Arial"/>
          <w:sz w:val="22"/>
          <w:szCs w:val="22"/>
        </w:rPr>
        <w:t xml:space="preserve">All sections except the literature review remain to be drafted, informed by this narrative.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4E5F"/>
      <w:sz w:val="40"/>
      <w:szCs w:val="4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2026-07-10T11:49:23.918Z</dcterms:created>
  <dcterms:modified xsi:type="dcterms:W3CDTF">2026-07-10T11:49:23.920Z</dcterms:modified>
</cp:coreProperties>
</file>

<file path=docProps/custom.xml><?xml version="1.0" encoding="utf-8"?>
<Properties xmlns="http://schemas.openxmlformats.org/officeDocument/2006/custom-properties" xmlns:vt="http://schemas.openxmlformats.org/officeDocument/2006/docPropsVTypes"/>
</file>