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EB0B9A" w14:paraId="5927D7FA" w14:textId="77777777" w:rsidTr="00571F76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40" w:type="dxa"/>
              <w:left w:w="1080" w:type="dxa"/>
              <w:bottom w:w="360" w:type="dxa"/>
              <w:right w:w="1080" w:type="dxa"/>
            </w:tcMar>
          </w:tcPr>
          <w:p w14:paraId="0C9133A5" w14:textId="77777777" w:rsidR="00EB0B9A" w:rsidRDefault="00000000" w:rsidP="00571F76">
            <w:pPr>
              <w:bidi w:val="0"/>
              <w:spacing w:after="60"/>
              <w:ind w:left="7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>GUY RUBIN</w:t>
            </w:r>
          </w:p>
          <w:p w14:paraId="3976EEE0" w14:textId="77777777" w:rsidR="00EB0B9A" w:rsidRDefault="00000000" w:rsidP="00571F76">
            <w:pPr>
              <w:bidi w:val="0"/>
              <w:spacing w:after="100"/>
              <w:ind w:left="70"/>
            </w:pPr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 xml:space="preserve">Senior Cloud &amp; Enterprise </w:t>
            </w:r>
            <w:proofErr w:type="gramStart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>Architect  |</w:t>
            </w:r>
            <w:proofErr w:type="gramEnd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 xml:space="preserve">  Azure &amp; </w:t>
            </w:r>
            <w:proofErr w:type="gramStart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>AWS  |</w:t>
            </w:r>
            <w:proofErr w:type="gramEnd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 xml:space="preserve"> 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>CCoE</w:t>
            </w:r>
            <w:proofErr w:type="spellEnd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 xml:space="preserve">  NIS2 / DORA</w:t>
            </w:r>
          </w:p>
          <w:p w14:paraId="22B6C81D" w14:textId="7A7DB345" w:rsidR="00EB0B9A" w:rsidRDefault="00000000" w:rsidP="00571F76">
            <w:pPr>
              <w:bidi w:val="0"/>
              <w:ind w:left="70"/>
            </w:pPr>
            <w:r>
              <w:rPr>
                <w:rFonts w:ascii="Calibri" w:eastAsia="Calibri" w:hAnsi="Calibri" w:cs="Calibri"/>
                <w:color w:val="AECDE8"/>
                <w:sz w:val="19"/>
                <w:szCs w:val="19"/>
              </w:rPr>
              <w:t xml:space="preserve">📍 </w:t>
            </w:r>
            <w:r w:rsidR="00435723" w:rsidRPr="00435723">
              <w:rPr>
                <w:rFonts w:ascii="Calibri" w:eastAsia="Calibri" w:hAnsi="Calibri" w:cs="Calibri"/>
                <w:color w:val="AECDE8"/>
                <w:sz w:val="19"/>
                <w:szCs w:val="19"/>
              </w:rPr>
              <w:t xml:space="preserve">Brussels, BE   </w:t>
            </w:r>
            <w:r>
              <w:rPr>
                <w:rFonts w:ascii="Calibri" w:eastAsia="Calibri" w:hAnsi="Calibri" w:cs="Calibri"/>
                <w:color w:val="AECDE8"/>
                <w:sz w:val="19"/>
                <w:szCs w:val="19"/>
              </w:rPr>
              <w:t>✉  bguy.rubin@gmail.com    📞 +32 469 22 80 40    🔗 linkedin.com/in/guy-rubin-7838a3130</w:t>
            </w:r>
          </w:p>
        </w:tc>
      </w:tr>
    </w:tbl>
    <w:p w14:paraId="472AA5BF" w14:textId="77777777" w:rsidR="00EB0B9A" w:rsidRDefault="00000000" w:rsidP="00571F76">
      <w:pPr>
        <w:pBdr>
          <w:bottom w:val="single" w:sz="8" w:space="4" w:color="2E75B6"/>
        </w:pBdr>
        <w:bidi w:val="0"/>
        <w:spacing w:before="200" w:after="80"/>
      </w:pPr>
      <w:r>
        <w:rPr>
          <w:rFonts w:ascii="Calibri" w:eastAsia="Calibri" w:hAnsi="Calibri" w:cs="Calibri"/>
          <w:b/>
          <w:bCs/>
          <w:color w:val="1B3A6B"/>
        </w:rPr>
        <w:t>EXECUTIVE SUMMARY</w:t>
      </w:r>
    </w:p>
    <w:p w14:paraId="4A2578FC" w14:textId="77777777" w:rsidR="00EB0B9A" w:rsidRDefault="00000000" w:rsidP="00571F76">
      <w:pPr>
        <w:bidi w:val="0"/>
        <w:spacing w:before="100" w:after="6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Cloud &amp; Enterprise Architect with 20+ years designing mission-critical platforms for global enterprises. Led Cloud Center of Excellence (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CCoE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) initiatives at IBM Consulting—building secure landing zones, automated governance, and FinOps frameworks adopted across 8+ enterprise clients. Architect of multi-cloud solutions (Azure + AWS) spanning application modernization, microservices, event-driven architectures, and AI/ML workloads. Proven track record translating NIS2, DORA, and ISO 27001 into policy-as-code, reducing provisioning cycles from weeks to hours while maintaining full regulatory compliance.</w:t>
      </w:r>
    </w:p>
    <w:p w14:paraId="1A9F4B44" w14:textId="77777777" w:rsidR="00EB0B9A" w:rsidRDefault="00EB0B9A" w:rsidP="00571F76">
      <w:pPr>
        <w:bidi w:val="0"/>
        <w:spacing w:before="180"/>
      </w:pPr>
    </w:p>
    <w:p w14:paraId="6C1742DF" w14:textId="77777777" w:rsidR="00EB0B9A" w:rsidRDefault="00000000" w:rsidP="00571F76">
      <w:pPr>
        <w:pBdr>
          <w:bottom w:val="single" w:sz="8" w:space="4" w:color="2E75B6"/>
        </w:pBdr>
        <w:bidi w:val="0"/>
        <w:spacing w:before="200" w:after="80"/>
      </w:pPr>
      <w:r>
        <w:rPr>
          <w:rFonts w:ascii="Calibri" w:eastAsia="Calibri" w:hAnsi="Calibri" w:cs="Calibri"/>
          <w:b/>
          <w:bCs/>
          <w:color w:val="1B3A6B"/>
        </w:rPr>
        <w:t>KEY ACHIEVEMENTS</w:t>
      </w:r>
    </w:p>
    <w:p w14:paraId="536D56AD" w14:textId="77777777" w:rsidR="00EB0B9A" w:rsidRDefault="00EB0B9A" w:rsidP="00571F76">
      <w:pPr>
        <w:bidi w:val="0"/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B0B9A" w14:paraId="5D29D03A" w14:textId="77777777">
        <w:tc>
          <w:tcPr>
            <w:tcW w:w="4873" w:type="dxa"/>
            <w:tcBorders>
              <w:top w:val="single" w:sz="1" w:space="0" w:color="BDD7EE"/>
              <w:left w:val="single" w:sz="6" w:space="0" w:color="2E75B6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A319D2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Led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CCoE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across 8+ enterprise clients — cut cloud provisioning from 3 weeks to &lt;4 hours through automated landing zones and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IaC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libraries (Terraform + Azure Policy)</w:t>
            </w:r>
          </w:p>
        </w:tc>
        <w:tc>
          <w:tcPr>
            <w:tcW w:w="4873" w:type="dxa"/>
            <w:tcBorders>
              <w:top w:val="single" w:sz="1" w:space="0" w:color="BDD7EE"/>
              <w:left w:val="single" w:sz="6" w:space="0" w:color="2E75B6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224124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Directed team of 12 cloud engineers at IBM delivering €50M+ modernization portfolio across financial services and healthcare</w:t>
            </w:r>
          </w:p>
        </w:tc>
      </w:tr>
      <w:tr w:rsidR="00EB0B9A" w14:paraId="1FFE3F90" w14:textId="77777777">
        <w:tc>
          <w:tcPr>
            <w:tcW w:w="4873" w:type="dxa"/>
            <w:tcBorders>
              <w:top w:val="single" w:sz="1" w:space="0" w:color="BDD7EE"/>
              <w:left w:val="single" w:sz="6" w:space="0" w:color="2E75B6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262C38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Designed multi-cloud architectures (Azure + AWS) for 4 regulated enterprises achieving NIS2/DORA compliance with zero audit findings in first review cycle</w:t>
            </w:r>
          </w:p>
        </w:tc>
        <w:tc>
          <w:tcPr>
            <w:tcW w:w="4873" w:type="dxa"/>
            <w:tcBorders>
              <w:top w:val="single" w:sz="1" w:space="0" w:color="BDD7EE"/>
              <w:left w:val="single" w:sz="6" w:space="0" w:color="2E75B6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7B3071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Supported €30M+ in presales wins at Deloitte through solution architecture, RFP/RFI responses, and executive presentations across 5 enterprise accounts</w:t>
            </w:r>
          </w:p>
        </w:tc>
      </w:tr>
    </w:tbl>
    <w:p w14:paraId="77D928FD" w14:textId="77777777" w:rsidR="00EB0B9A" w:rsidRDefault="00EB0B9A" w:rsidP="00571F76">
      <w:pPr>
        <w:bidi w:val="0"/>
        <w:spacing w:before="180"/>
      </w:pPr>
    </w:p>
    <w:p w14:paraId="61065C28" w14:textId="77777777" w:rsidR="00EB0B9A" w:rsidRDefault="00000000" w:rsidP="00571F76">
      <w:pPr>
        <w:pBdr>
          <w:bottom w:val="single" w:sz="8" w:space="4" w:color="2E75B6"/>
        </w:pBdr>
        <w:bidi w:val="0"/>
        <w:spacing w:before="200" w:after="80"/>
      </w:pPr>
      <w:r>
        <w:rPr>
          <w:rFonts w:ascii="Calibri" w:eastAsia="Calibri" w:hAnsi="Calibri" w:cs="Calibri"/>
          <w:b/>
          <w:bCs/>
          <w:color w:val="1B3A6B"/>
        </w:rPr>
        <w:t>PROFESSIONAL EXPERIENCE</w:t>
      </w:r>
    </w:p>
    <w:p w14:paraId="4C0A5A40" w14:textId="77777777" w:rsidR="00EB0B9A" w:rsidRDefault="00000000" w:rsidP="00571F76">
      <w:pPr>
        <w:bidi w:val="0"/>
        <w:spacing w:before="240" w:after="12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Senior Cloud &amp; Enterprise Architect / </w:t>
      </w:r>
      <w:proofErr w:type="spellStart"/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CCoE</w:t>
      </w:r>
      <w:proofErr w:type="spellEnd"/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 Lead</w:t>
      </w:r>
    </w:p>
    <w:p w14:paraId="44351C6C" w14:textId="77777777" w:rsidR="00EB0B9A" w:rsidRDefault="00000000" w:rsidP="00571F76">
      <w:pPr>
        <w:tabs>
          <w:tab w:val="right" w:pos="9746"/>
        </w:tabs>
        <w:bidi w:val="0"/>
        <w:spacing w:after="60"/>
      </w:pPr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IBM </w:t>
      </w:r>
      <w:proofErr w:type="gramStart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>Consulting  •</w:t>
      </w:r>
      <w:proofErr w:type="gramEnd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  Amsterdam, Netherlands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2017 – Present</w:t>
      </w:r>
    </w:p>
    <w:p w14:paraId="4490268A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Directed a team of 12 cloud engineers delivering enterprise-scale application modernization programs (microservices, serverless, containers) across financial services and healthcare clients, managing a delivery portfolio of €50M+.</w:t>
      </w:r>
    </w:p>
    <w:p w14:paraId="692344A9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Built and operationalized Cloud Centers of Excellence (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CCoE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) for 8+ enterprise clients: designed secure landing zones with policy-enforced guardrails (Azure Policy, AWS SCPs), cutting provisioning time from 3 weeks to under 4 hours and reducing misconfiguration incidents by ~70%.</w:t>
      </w:r>
    </w:p>
    <w:p w14:paraId="090E0102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Architected hybrid multi-cloud connectivity (ExpressRoute, Direct Connect) with hub-spoke topologies, Zero Trust network segmentation, identity federation (Entra ID, IAM Identity Center), and API gateway strategies aligned with NIS2 and DORA frameworks.</w:t>
      </w:r>
    </w:p>
    <w:p w14:paraId="794955A2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Designed AI/ML workload platforms including data lakes (ADLS, S3), model training pipelines (Azure ML, SageMaker),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MLOps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 xml:space="preserve"> workflows, and inference endpoints supporting intelligent application portfolios.</w:t>
      </w:r>
    </w:p>
    <w:p w14:paraId="0D6712A1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Built infrastructure-as-code libraries (Terraform, Bicep) with automated compliance scanning and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GitOps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 xml:space="preserve"> pipelines (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ArgoCD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, Flux), enabling development teams to self-serve governed cloud environments at scale.</w:t>
      </w:r>
    </w:p>
    <w:p w14:paraId="464257D2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Drove €30M+ in business development through technical presales: solution architecture, RFP/RFI responses, proof-of-concepts, and C-suite presentations across 10+ enterprise accounts.</w:t>
      </w:r>
    </w:p>
    <w:p w14:paraId="7A2FE901" w14:textId="77777777" w:rsidR="00EB0B9A" w:rsidRDefault="00000000" w:rsidP="00571F76">
      <w:pPr>
        <w:bidi w:val="0"/>
        <w:spacing w:before="240" w:after="12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Senior Cloud &amp; Enterprise Architect</w:t>
      </w:r>
    </w:p>
    <w:p w14:paraId="1B0AC3C7" w14:textId="77777777" w:rsidR="00EB0B9A" w:rsidRDefault="00000000" w:rsidP="00571F76">
      <w:pPr>
        <w:tabs>
          <w:tab w:val="right" w:pos="9746"/>
        </w:tabs>
        <w:bidi w:val="0"/>
        <w:spacing w:after="60"/>
      </w:pPr>
      <w:proofErr w:type="gramStart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>Deloitte  •</w:t>
      </w:r>
      <w:proofErr w:type="gramEnd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  Amsterdam &amp; Brussels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2012 – 2017</w:t>
      </w:r>
    </w:p>
    <w:p w14:paraId="070558E0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Led enterprise cloud transformation programs for 12+ clients across financial services, retail, and public sector — architecting Azure-first migration strategies and application modernization roadmaps reducing on-premises footprint by 60–80%.</w:t>
      </w:r>
    </w:p>
    <w:p w14:paraId="732F49F6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Designed cloud-native application portfolios using Kubernetes, service mesh (Istio), event-driven architectures (Azure Service Bus, Event Grid), and serverless computing — enabling teams to move from monthly releases to daily deployments.</w:t>
      </w:r>
    </w:p>
    <w:p w14:paraId="7835523B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Built IAM </w:t>
      </w:r>
      <w:proofErr w:type="gramStart"/>
      <w:r>
        <w:rPr>
          <w:rFonts w:ascii="Calibri" w:eastAsia="Calibri" w:hAnsi="Calibri" w:cs="Calibri"/>
          <w:color w:val="1A1A2E"/>
          <w:sz w:val="19"/>
          <w:szCs w:val="19"/>
        </w:rPr>
        <w:t>architectures</w:t>
      </w:r>
      <w:proofErr w:type="gramEnd"/>
      <w:r>
        <w:rPr>
          <w:rFonts w:ascii="Calibri" w:eastAsia="Calibri" w:hAnsi="Calibri" w:cs="Calibri"/>
          <w:color w:val="1A1A2E"/>
          <w:sz w:val="19"/>
          <w:szCs w:val="19"/>
        </w:rPr>
        <w:t xml:space="preserve"> using Azure AD, Okta, and federated SSO, securing data access for 20,000+ users across hybrid environments; contributed to winning multi-million-euro transformation budgets through executive strategy presentations.</w:t>
      </w:r>
    </w:p>
    <w:p w14:paraId="30A0A8FB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2E"/>
          <w:sz w:val="19"/>
          <w:szCs w:val="19"/>
        </w:rPr>
        <w:t>Architected data-centric integration strategies using Boomi and Azure APIM, connecting SAP, Salesforce, and Microsoft 365 ecosystems and eliminating 15+ point-to-point integrations per client.</w:t>
      </w:r>
    </w:p>
    <w:p w14:paraId="6289D6A1" w14:textId="77777777" w:rsidR="00571F76" w:rsidRDefault="00571F76" w:rsidP="00571F76">
      <w:pPr>
        <w:bidi w:val="0"/>
        <w:spacing w:before="160" w:after="30"/>
        <w:rPr>
          <w:rFonts w:ascii="Calibri" w:eastAsia="Calibri" w:hAnsi="Calibri" w:cs="Calibri"/>
          <w:b/>
          <w:bCs/>
          <w:color w:val="1B3A6B"/>
          <w:sz w:val="22"/>
          <w:szCs w:val="22"/>
        </w:rPr>
      </w:pPr>
    </w:p>
    <w:p w14:paraId="437316CE" w14:textId="77777777" w:rsidR="00571F76" w:rsidRDefault="00571F76" w:rsidP="00571F76">
      <w:pPr>
        <w:bidi w:val="0"/>
        <w:spacing w:before="160" w:after="30"/>
        <w:rPr>
          <w:rFonts w:ascii="Calibri" w:eastAsia="Calibri" w:hAnsi="Calibri" w:cs="Calibri"/>
          <w:b/>
          <w:bCs/>
          <w:color w:val="1B3A6B"/>
          <w:sz w:val="22"/>
          <w:szCs w:val="22"/>
        </w:rPr>
      </w:pPr>
    </w:p>
    <w:p w14:paraId="1E7F6F4A" w14:textId="5CFBD04E" w:rsidR="00EB0B9A" w:rsidRDefault="00000000" w:rsidP="00571F76">
      <w:pPr>
        <w:bidi w:val="0"/>
        <w:spacing w:before="240" w:after="12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Cybersecurity Consultant</w:t>
      </w:r>
    </w:p>
    <w:p w14:paraId="19DD3603" w14:textId="77777777" w:rsidR="00EB0B9A" w:rsidRDefault="00000000" w:rsidP="00571F76">
      <w:pPr>
        <w:tabs>
          <w:tab w:val="right" w:pos="9746"/>
        </w:tabs>
        <w:bidi w:val="0"/>
        <w:spacing w:after="60"/>
      </w:pPr>
      <w:proofErr w:type="gramStart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>Deloitte  •</w:t>
      </w:r>
      <w:proofErr w:type="gramEnd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  Brussels, Belgium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2010 – 2012</w:t>
      </w:r>
    </w:p>
    <w:p w14:paraId="566DD98B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2E"/>
          <w:sz w:val="19"/>
          <w:szCs w:val="19"/>
        </w:rPr>
        <w:t>Delivered architecture and compliance frameworks for regulated financial and public sector clients, specializing in cloud security patterns, IAM design, and ISO 27001 / NIS2 control mapping.</w:t>
      </w:r>
    </w:p>
    <w:p w14:paraId="4F3F9C23" w14:textId="77777777" w:rsidR="00EB0B9A" w:rsidRDefault="00000000" w:rsidP="00571F76">
      <w:pPr>
        <w:bidi w:val="0"/>
        <w:spacing w:before="240" w:after="12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Systems Architect &amp; Security Specialist</w:t>
      </w:r>
    </w:p>
    <w:p w14:paraId="5655C11B" w14:textId="77777777" w:rsidR="00EB0B9A" w:rsidRDefault="00000000" w:rsidP="00571F76">
      <w:pPr>
        <w:tabs>
          <w:tab w:val="right" w:pos="9746"/>
        </w:tabs>
        <w:bidi w:val="0"/>
        <w:spacing w:after="60"/>
      </w:pPr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IDF – Intelligence </w:t>
      </w:r>
      <w:proofErr w:type="gramStart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>Corps  •</w:t>
      </w:r>
      <w:proofErr w:type="gramEnd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  Israel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2005 – 2010</w:t>
      </w:r>
    </w:p>
    <w:p w14:paraId="32DE1335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Led technical teams architecting mission-critical HA/DR systems with TOP SECRET accreditation; applied defense-grade security principles (Zero Trust, micro-segmentation) that directly inform enterprise cloud architecture practice.</w:t>
      </w:r>
    </w:p>
    <w:p w14:paraId="0C93AF66" w14:textId="77777777" w:rsidR="00EB0B9A" w:rsidRDefault="00EB0B9A" w:rsidP="00571F76">
      <w:pPr>
        <w:bidi w:val="0"/>
        <w:spacing w:before="200"/>
      </w:pPr>
    </w:p>
    <w:p w14:paraId="18BC990D" w14:textId="77777777" w:rsidR="00EB0B9A" w:rsidRDefault="00000000" w:rsidP="00571F76">
      <w:pPr>
        <w:pBdr>
          <w:bottom w:val="single" w:sz="8" w:space="4" w:color="2E75B6"/>
        </w:pBdr>
        <w:bidi w:val="0"/>
        <w:spacing w:before="200" w:after="80"/>
      </w:pPr>
      <w:r>
        <w:rPr>
          <w:rFonts w:ascii="Calibri" w:eastAsia="Calibri" w:hAnsi="Calibri" w:cs="Calibri"/>
          <w:b/>
          <w:bCs/>
          <w:color w:val="1B3A6B"/>
        </w:rPr>
        <w:t>TECHNICAL EXPERTISE</w:t>
      </w:r>
    </w:p>
    <w:p w14:paraId="164835A8" w14:textId="77777777" w:rsidR="00EB0B9A" w:rsidRDefault="00EB0B9A" w:rsidP="00571F76">
      <w:pPr>
        <w:bidi w:val="0"/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B0B9A" w14:paraId="3A1829FB" w14:textId="77777777"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3F2EC4" w14:textId="77777777" w:rsidR="00EB0B9A" w:rsidRDefault="00000000" w:rsidP="00571F76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Cloud Platforms &amp; Services</w:t>
            </w:r>
          </w:p>
          <w:p w14:paraId="71F21301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Azure: AKS, App Service, Functions, API Management, Event Grid, Service Bus, Cosmos DB, Synapse AWS: EKS, Lambda, API Gateway,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EventBridge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DynamoDB, RDS, Glue Multi-cloud strategy, Hybrid Connectivity, Well-Architected Frameworks</w:t>
            </w:r>
          </w:p>
        </w:tc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D00CAA" w14:textId="77777777" w:rsidR="00EB0B9A" w:rsidRDefault="00000000" w:rsidP="00571F76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Application Modernization</w:t>
            </w:r>
          </w:p>
          <w:p w14:paraId="3E82C6FA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Microservices Architecture, Event-Driven Design, Serverless Computing API Design &amp; Gateway Patterns, Service Mesh (Istio,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Linkerd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) Container Orchestration (Kubernetes / AKS / EKS) Cloud-Native Patterns, Legacy Migration Strategies</w:t>
            </w:r>
          </w:p>
        </w:tc>
      </w:tr>
      <w:tr w:rsidR="00EB0B9A" w14:paraId="65700849" w14:textId="77777777"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0F4EC3" w14:textId="77777777" w:rsidR="00EB0B9A" w:rsidRDefault="00000000" w:rsidP="00571F76">
            <w:pPr>
              <w:bidi w:val="0"/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CCoE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 xml:space="preserve"> &amp; Governance</w:t>
            </w:r>
          </w:p>
          <w:p w14:paraId="024D5ABF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Secure Landing Zones, Azure Policy, AWS SCPs Infrastructure-as-Code: Terraform, Bicep, CloudFormation CI/CD: GitHub Actions, Azure DevOps |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GitOps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ArgoCD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Flux Policy-as-Code: OPA, Sentinel | FinOps | NIS2, DORA, ISO 27001, GDPR</w:t>
            </w:r>
          </w:p>
        </w:tc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9F04EF" w14:textId="77777777" w:rsidR="00EB0B9A" w:rsidRDefault="00000000" w:rsidP="00571F76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AI/ML &amp; Data Platforms</w:t>
            </w:r>
          </w:p>
          <w:p w14:paraId="2B8D43D5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Azure ML, AWS SageMaker,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MLOps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 Pipelines Data Lakes: ADLS Gen2, S3/Parquet | Azure Synapse, Databricks Kafka, Event Hubs — Real-Time Streaming Architectures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LangChain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Azure OpenAI — Enterprise Copilot Patterns</w:t>
            </w:r>
          </w:p>
        </w:tc>
      </w:tr>
      <w:tr w:rsidR="00EB0B9A" w14:paraId="46ADAFBC" w14:textId="77777777"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AC46B" w14:textId="77777777" w:rsidR="00EB0B9A" w:rsidRDefault="00000000" w:rsidP="00571F76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Security &amp; Identity</w:t>
            </w:r>
          </w:p>
          <w:p w14:paraId="504E05ED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Zero Trust Architecture, Identity Federation (Entra ID, Okta, IAM) Network Micro-Segmentation,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mTLS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SBOM AZ-500 Azure Security Engineer | CISSP | CCSP ISO 27001 Lead Implementer, NIS2/DORA Compliance</w:t>
            </w:r>
          </w:p>
        </w:tc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632C2" w14:textId="77777777" w:rsidR="00EB0B9A" w:rsidRDefault="00000000" w:rsidP="00571F76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Enterprise Architecture</w:t>
            </w:r>
          </w:p>
          <w:p w14:paraId="0C161844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TOGAF 9, ArchiMate,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SAFe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 Architecture Runway Business Capability Modeling, Value Streams Strategic Platform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Roadmapping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Portfolio Governance Architecture Boards, Design Reviews, RFP/RFI Leadership</w:t>
            </w:r>
          </w:p>
        </w:tc>
      </w:tr>
    </w:tbl>
    <w:p w14:paraId="103BA0A2" w14:textId="77777777" w:rsidR="00EB0B9A" w:rsidRDefault="00EB0B9A" w:rsidP="00571F76">
      <w:pPr>
        <w:bidi w:val="0"/>
        <w:spacing w:before="200"/>
      </w:pPr>
    </w:p>
    <w:p w14:paraId="5A8E1874" w14:textId="77777777" w:rsidR="00EB0B9A" w:rsidRDefault="00000000" w:rsidP="00571F76">
      <w:pPr>
        <w:pBdr>
          <w:bottom w:val="single" w:sz="8" w:space="4" w:color="2E75B6"/>
        </w:pBdr>
        <w:bidi w:val="0"/>
        <w:spacing w:before="200" w:after="80"/>
      </w:pPr>
      <w:r>
        <w:rPr>
          <w:rFonts w:ascii="Calibri" w:eastAsia="Calibri" w:hAnsi="Calibri" w:cs="Calibri"/>
          <w:b/>
          <w:bCs/>
          <w:color w:val="1B3A6B"/>
        </w:rPr>
        <w:t>CERTIFICATIONS &amp; EDUCATION</w:t>
      </w:r>
    </w:p>
    <w:p w14:paraId="184CFD6C" w14:textId="77777777" w:rsidR="00EB0B9A" w:rsidRDefault="00EB0B9A" w:rsidP="00571F76">
      <w:pPr>
        <w:bidi w:val="0"/>
        <w:spacing w:before="100"/>
      </w:pPr>
    </w:p>
    <w:tbl>
      <w:tblPr>
        <w:tblW w:w="9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EB0B9A" w14:paraId="355B7C43" w14:textId="77777777" w:rsidTr="00571F76">
        <w:trPr>
          <w:jc w:val="center"/>
        </w:trPr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2E58F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AZ-305 – Azure Solutions Architect Expert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D8A2B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AZ-500 – Azure Security Engineer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A910D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AZ-400 – Azure DevOps Engineer</w:t>
            </w:r>
          </w:p>
        </w:tc>
      </w:tr>
      <w:tr w:rsidR="00EB0B9A" w14:paraId="6689C68B" w14:textId="77777777" w:rsidTr="00571F76">
        <w:trPr>
          <w:jc w:val="center"/>
        </w:trPr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AD655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AWS Solutions Architect Professional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D3300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AWS Security Specialty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A62B6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CISSP / CCSP</w:t>
            </w:r>
          </w:p>
        </w:tc>
      </w:tr>
      <w:tr w:rsidR="00EB0B9A" w14:paraId="4B4408B5" w14:textId="77777777" w:rsidTr="00571F76">
        <w:trPr>
          <w:jc w:val="center"/>
        </w:trPr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2A7F3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TOGAF 9 Certified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1ECDE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ITIL 4 Foundation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8E773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ISO 27001 Lead Implementer</w:t>
            </w:r>
          </w:p>
        </w:tc>
      </w:tr>
    </w:tbl>
    <w:p w14:paraId="0C0EF11B" w14:textId="77777777" w:rsidR="00EB0B9A" w:rsidRDefault="00EB0B9A" w:rsidP="00571F76">
      <w:pPr>
        <w:bidi w:val="0"/>
        <w:spacing w:before="120"/>
      </w:pPr>
    </w:p>
    <w:p w14:paraId="4A0E523A" w14:textId="77777777" w:rsidR="00571F76" w:rsidRDefault="00000000" w:rsidP="00571F76">
      <w:pPr>
        <w:bidi w:val="0"/>
        <w:rPr>
          <w:rFonts w:ascii="Calibri" w:eastAsia="Calibri" w:hAnsi="Calibri" w:cs="Calibri"/>
          <w:color w:val="1A1A2E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 xml:space="preserve">Education: </w:t>
      </w:r>
    </w:p>
    <w:p w14:paraId="08D47101" w14:textId="09DBD953" w:rsidR="00571F76" w:rsidRDefault="00000000" w:rsidP="00571F76">
      <w:pPr>
        <w:bidi w:val="0"/>
        <w:rPr>
          <w:rFonts w:ascii="Calibri" w:eastAsia="Calibri" w:hAnsi="Calibri" w:cs="Calibri"/>
          <w:b/>
          <w:bCs/>
          <w:color w:val="1B3A6B"/>
          <w:sz w:val="19"/>
          <w:szCs w:val="19"/>
        </w:rPr>
      </w:pPr>
      <w:r>
        <w:rPr>
          <w:rFonts w:ascii="Calibri" w:eastAsia="Calibri" w:hAnsi="Calibri" w:cs="Calibri"/>
          <w:color w:val="1A1A2E"/>
          <w:sz w:val="19"/>
          <w:szCs w:val="19"/>
        </w:rPr>
        <w:t>B.Sc. Industrial Engineering &amp; Management — Technion, Israel Institute of Technology</w:t>
      </w: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 xml:space="preserve"> </w:t>
      </w:r>
    </w:p>
    <w:p w14:paraId="34445B1F" w14:textId="22754B3F" w:rsidR="00EB0B9A" w:rsidRDefault="00000000" w:rsidP="00571F76">
      <w:pPr>
        <w:bidi w:val="0"/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1A1A2E"/>
          <w:sz w:val="19"/>
          <w:szCs w:val="19"/>
        </w:rPr>
        <w:t>English (Fluent), Hebrew (Native)</w:t>
      </w:r>
    </w:p>
    <w:sectPr w:rsidR="00EB0B9A">
      <w:pgSz w:w="11906" w:h="16838"/>
      <w:pgMar w:top="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AA"/>
    <w:multiLevelType w:val="hybridMultilevel"/>
    <w:tmpl w:val="A4CC9340"/>
    <w:lvl w:ilvl="0" w:tplc="618827B4">
      <w:start w:val="1"/>
      <w:numFmt w:val="bullet"/>
      <w:lvlText w:val="●"/>
      <w:lvlJc w:val="left"/>
      <w:pPr>
        <w:ind w:left="720" w:hanging="360"/>
      </w:pPr>
    </w:lvl>
    <w:lvl w:ilvl="1" w:tplc="857A3A92">
      <w:start w:val="1"/>
      <w:numFmt w:val="bullet"/>
      <w:lvlText w:val="○"/>
      <w:lvlJc w:val="left"/>
      <w:pPr>
        <w:ind w:left="1440" w:hanging="360"/>
      </w:pPr>
    </w:lvl>
    <w:lvl w:ilvl="2" w:tplc="64B02CFA">
      <w:start w:val="1"/>
      <w:numFmt w:val="bullet"/>
      <w:lvlText w:val="■"/>
      <w:lvlJc w:val="left"/>
      <w:pPr>
        <w:ind w:left="2160" w:hanging="360"/>
      </w:pPr>
    </w:lvl>
    <w:lvl w:ilvl="3" w:tplc="C186BCAA">
      <w:start w:val="1"/>
      <w:numFmt w:val="bullet"/>
      <w:lvlText w:val="●"/>
      <w:lvlJc w:val="left"/>
      <w:pPr>
        <w:ind w:left="2880" w:hanging="360"/>
      </w:pPr>
    </w:lvl>
    <w:lvl w:ilvl="4" w:tplc="4BF45238">
      <w:start w:val="1"/>
      <w:numFmt w:val="bullet"/>
      <w:lvlText w:val="○"/>
      <w:lvlJc w:val="left"/>
      <w:pPr>
        <w:ind w:left="3600" w:hanging="360"/>
      </w:pPr>
    </w:lvl>
    <w:lvl w:ilvl="5" w:tplc="C3729BEC">
      <w:start w:val="1"/>
      <w:numFmt w:val="bullet"/>
      <w:lvlText w:val="■"/>
      <w:lvlJc w:val="left"/>
      <w:pPr>
        <w:ind w:left="4320" w:hanging="360"/>
      </w:pPr>
    </w:lvl>
    <w:lvl w:ilvl="6" w:tplc="1E92443E">
      <w:start w:val="1"/>
      <w:numFmt w:val="bullet"/>
      <w:lvlText w:val="●"/>
      <w:lvlJc w:val="left"/>
      <w:pPr>
        <w:ind w:left="5040" w:hanging="360"/>
      </w:pPr>
    </w:lvl>
    <w:lvl w:ilvl="7" w:tplc="723C030C">
      <w:start w:val="1"/>
      <w:numFmt w:val="bullet"/>
      <w:lvlText w:val="●"/>
      <w:lvlJc w:val="left"/>
      <w:pPr>
        <w:ind w:left="5760" w:hanging="360"/>
      </w:pPr>
    </w:lvl>
    <w:lvl w:ilvl="8" w:tplc="4A6EEE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0B6A02"/>
    <w:multiLevelType w:val="hybridMultilevel"/>
    <w:tmpl w:val="47724A92"/>
    <w:lvl w:ilvl="0" w:tplc="18024364">
      <w:start w:val="1"/>
      <w:numFmt w:val="bullet"/>
      <w:lvlText w:val="▸"/>
      <w:lvlJc w:val="left"/>
      <w:pPr>
        <w:ind w:left="360" w:hanging="260"/>
      </w:pPr>
      <w:rPr>
        <w:color w:val="2E75B6"/>
        <w:sz w:val="18"/>
        <w:szCs w:val="18"/>
      </w:rPr>
    </w:lvl>
    <w:lvl w:ilvl="1" w:tplc="E0B4EC36">
      <w:numFmt w:val="decimal"/>
      <w:lvlText w:val=""/>
      <w:lvlJc w:val="left"/>
    </w:lvl>
    <w:lvl w:ilvl="2" w:tplc="6E16D770">
      <w:numFmt w:val="decimal"/>
      <w:lvlText w:val=""/>
      <w:lvlJc w:val="left"/>
    </w:lvl>
    <w:lvl w:ilvl="3" w:tplc="6EAC24F4">
      <w:numFmt w:val="decimal"/>
      <w:lvlText w:val=""/>
      <w:lvlJc w:val="left"/>
    </w:lvl>
    <w:lvl w:ilvl="4" w:tplc="E77E693A">
      <w:numFmt w:val="decimal"/>
      <w:lvlText w:val=""/>
      <w:lvlJc w:val="left"/>
    </w:lvl>
    <w:lvl w:ilvl="5" w:tplc="3B0C9B30">
      <w:numFmt w:val="decimal"/>
      <w:lvlText w:val=""/>
      <w:lvlJc w:val="left"/>
    </w:lvl>
    <w:lvl w:ilvl="6" w:tplc="25F2332E">
      <w:numFmt w:val="decimal"/>
      <w:lvlText w:val=""/>
      <w:lvlJc w:val="left"/>
    </w:lvl>
    <w:lvl w:ilvl="7" w:tplc="DEE46E1E">
      <w:numFmt w:val="decimal"/>
      <w:lvlText w:val=""/>
      <w:lvlJc w:val="left"/>
    </w:lvl>
    <w:lvl w:ilvl="8" w:tplc="E17AA064">
      <w:numFmt w:val="decimal"/>
      <w:lvlText w:val=""/>
      <w:lvlJc w:val="left"/>
    </w:lvl>
  </w:abstractNum>
  <w:num w:numId="1" w16cid:durableId="1504472301">
    <w:abstractNumId w:val="0"/>
    <w:lvlOverride w:ilvl="0">
      <w:startOverride w:val="1"/>
    </w:lvlOverride>
  </w:num>
  <w:num w:numId="2" w16cid:durableId="21039119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B9A"/>
    <w:rsid w:val="001C3E49"/>
    <w:rsid w:val="00435723"/>
    <w:rsid w:val="00551E75"/>
    <w:rsid w:val="00571F76"/>
    <w:rsid w:val="009165D0"/>
    <w:rsid w:val="00C96141"/>
    <w:rsid w:val="00EB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8881"/>
  <w15:docId w15:val="{A571AA4D-E537-4FCB-9FB6-49C795FD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1065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Ayala Eylath</cp:lastModifiedBy>
  <cp:revision>3</cp:revision>
  <dcterms:created xsi:type="dcterms:W3CDTF">2026-03-10T10:32:00Z</dcterms:created>
  <dcterms:modified xsi:type="dcterms:W3CDTF">2026-03-10T10:33:00Z</dcterms:modified>
</cp:coreProperties>
</file>