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906" w:type="dxa"/>
        <w:tblInd w:w="-1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906"/>
      </w:tblGrid>
      <w:tr w:rsidR="00757F6A" w14:paraId="0FBAEF52" w14:textId="77777777" w:rsidTr="00B0047F">
        <w:tc>
          <w:tcPr>
            <w:tcW w:w="119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557"/>
            <w:tcMar>
              <w:top w:w="440" w:type="dxa"/>
              <w:left w:w="1080" w:type="dxa"/>
              <w:bottom w:w="360" w:type="dxa"/>
              <w:right w:w="1080" w:type="dxa"/>
            </w:tcMar>
          </w:tcPr>
          <w:p w14:paraId="3BDD9159" w14:textId="77777777" w:rsidR="00757F6A" w:rsidRDefault="00000000" w:rsidP="00B0047F">
            <w:pPr>
              <w:bidi w:val="0"/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56"/>
                <w:szCs w:val="56"/>
              </w:rPr>
              <w:t>GUY RUBIN</w:t>
            </w:r>
          </w:p>
          <w:p w14:paraId="3E1DCABD" w14:textId="77777777" w:rsidR="00757F6A" w:rsidRDefault="00000000" w:rsidP="00B0047F">
            <w:pPr>
              <w:bidi w:val="0"/>
              <w:spacing w:after="100"/>
            </w:pPr>
            <w:r>
              <w:rPr>
                <w:rFonts w:ascii="Calibri" w:eastAsia="Calibri" w:hAnsi="Calibri" w:cs="Calibri"/>
                <w:color w:val="F0B8B8"/>
                <w:sz w:val="23"/>
                <w:szCs w:val="23"/>
              </w:rPr>
              <w:t xml:space="preserve">Principal Cloud Security </w:t>
            </w:r>
            <w:proofErr w:type="gramStart"/>
            <w:r>
              <w:rPr>
                <w:rFonts w:ascii="Calibri" w:eastAsia="Calibri" w:hAnsi="Calibri" w:cs="Calibri"/>
                <w:color w:val="F0B8B8"/>
                <w:sz w:val="23"/>
                <w:szCs w:val="23"/>
              </w:rPr>
              <w:t>Architect  |</w:t>
            </w:r>
            <w:proofErr w:type="gramEnd"/>
            <w:r>
              <w:rPr>
                <w:rFonts w:ascii="Calibri" w:eastAsia="Calibri" w:hAnsi="Calibri" w:cs="Calibri"/>
                <w:color w:val="F0B8B8"/>
                <w:sz w:val="23"/>
                <w:szCs w:val="23"/>
              </w:rPr>
              <w:t xml:space="preserve">  Zero </w:t>
            </w:r>
            <w:proofErr w:type="gramStart"/>
            <w:r>
              <w:rPr>
                <w:rFonts w:ascii="Calibri" w:eastAsia="Calibri" w:hAnsi="Calibri" w:cs="Calibri"/>
                <w:color w:val="F0B8B8"/>
                <w:sz w:val="23"/>
                <w:szCs w:val="23"/>
              </w:rPr>
              <w:t>Trust  |</w:t>
            </w:r>
            <w:proofErr w:type="gramEnd"/>
            <w:r>
              <w:rPr>
                <w:rFonts w:ascii="Calibri" w:eastAsia="Calibri" w:hAnsi="Calibri" w:cs="Calibri"/>
                <w:color w:val="F0B8B8"/>
                <w:sz w:val="23"/>
                <w:szCs w:val="23"/>
              </w:rPr>
              <w:t xml:space="preserve">  NIS2 / DORA / ISO </w:t>
            </w:r>
            <w:proofErr w:type="gramStart"/>
            <w:r>
              <w:rPr>
                <w:rFonts w:ascii="Calibri" w:eastAsia="Calibri" w:hAnsi="Calibri" w:cs="Calibri"/>
                <w:color w:val="F0B8B8"/>
                <w:sz w:val="23"/>
                <w:szCs w:val="23"/>
              </w:rPr>
              <w:t>27001  |</w:t>
            </w:r>
            <w:proofErr w:type="gramEnd"/>
            <w:r>
              <w:rPr>
                <w:rFonts w:ascii="Calibri" w:eastAsia="Calibri" w:hAnsi="Calibri" w:cs="Calibri"/>
                <w:color w:val="F0B8B8"/>
                <w:sz w:val="23"/>
                <w:szCs w:val="23"/>
              </w:rPr>
              <w:t xml:space="preserve">  CISSP</w:t>
            </w:r>
          </w:p>
          <w:p w14:paraId="17F79279" w14:textId="51D49E0C" w:rsidR="00757F6A" w:rsidRDefault="00000000" w:rsidP="00B0047F">
            <w:pPr>
              <w:bidi w:val="0"/>
            </w:pPr>
            <w:r>
              <w:rPr>
                <w:rFonts w:ascii="Calibri" w:eastAsia="Calibri" w:hAnsi="Calibri" w:cs="Calibri"/>
                <w:color w:val="D4A0A0"/>
                <w:sz w:val="19"/>
                <w:szCs w:val="19"/>
              </w:rPr>
              <w:t xml:space="preserve">📍 </w:t>
            </w:r>
            <w:r w:rsidR="00B874DC" w:rsidRPr="00B874DC">
              <w:rPr>
                <w:rFonts w:ascii="Calibri" w:eastAsia="Calibri" w:hAnsi="Calibri" w:cs="Calibri"/>
                <w:color w:val="D4A0A0"/>
                <w:sz w:val="19"/>
                <w:szCs w:val="19"/>
              </w:rPr>
              <w:t xml:space="preserve">Brussels, BE   </w:t>
            </w:r>
            <w:r w:rsidR="00B874DC">
              <w:rPr>
                <w:rFonts w:ascii="Calibri" w:eastAsia="Calibri" w:hAnsi="Calibri" w:cs="Calibri"/>
                <w:color w:val="D4A0A0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alibri" w:eastAsia="Calibri" w:hAnsi="Calibri" w:cs="Calibri"/>
                <w:color w:val="D4A0A0"/>
                <w:sz w:val="19"/>
                <w:szCs w:val="19"/>
              </w:rPr>
              <w:t>✉  bguy.rubin@gmail.com</w:t>
            </w:r>
            <w:proofErr w:type="gramEnd"/>
            <w:r>
              <w:rPr>
                <w:rFonts w:ascii="Calibri" w:eastAsia="Calibri" w:hAnsi="Calibri" w:cs="Calibri"/>
                <w:color w:val="D4A0A0"/>
                <w:sz w:val="19"/>
                <w:szCs w:val="19"/>
              </w:rPr>
              <w:t xml:space="preserve">    📞 +32 469 22 80 40    🔗 linkedin.com/in/guy-rubin-7838a3130</w:t>
            </w:r>
          </w:p>
        </w:tc>
      </w:tr>
    </w:tbl>
    <w:p w14:paraId="57A39ED8" w14:textId="77777777" w:rsidR="00757F6A" w:rsidRDefault="00000000" w:rsidP="00B0047F">
      <w:pPr>
        <w:pBdr>
          <w:bottom w:val="single" w:sz="8" w:space="4" w:color="C0392B"/>
        </w:pBdr>
        <w:bidi w:val="0"/>
        <w:spacing w:before="240" w:after="80"/>
        <w:jc w:val="both"/>
      </w:pPr>
      <w:r>
        <w:rPr>
          <w:rFonts w:ascii="Calibri" w:eastAsia="Calibri" w:hAnsi="Calibri" w:cs="Calibri"/>
          <w:b/>
          <w:bCs/>
          <w:color w:val="1B3557"/>
        </w:rPr>
        <w:t>EXECUTIVE SUMMARY</w:t>
      </w:r>
    </w:p>
    <w:p w14:paraId="325CBB8C" w14:textId="00F6F4F7" w:rsidR="00757F6A" w:rsidRDefault="00000000" w:rsidP="00B0047F">
      <w:pPr>
        <w:bidi w:val="0"/>
        <w:spacing w:before="100" w:after="60"/>
        <w:jc w:val="both"/>
      </w:pPr>
      <w:r>
        <w:rPr>
          <w:rFonts w:ascii="Calibri" w:eastAsia="Calibri" w:hAnsi="Calibri" w:cs="Calibri"/>
          <w:color w:val="1A1A2E"/>
          <w:sz w:val="19"/>
          <w:szCs w:val="19"/>
        </w:rPr>
        <w:t xml:space="preserve">Principal Cloud Security Architect with 20+ years transforming enterprise security postures across financial services, healthcare, and critical infrastructure. Deep specialist in Zero Trust </w:t>
      </w:r>
      <w:proofErr w:type="gramStart"/>
      <w:r>
        <w:rPr>
          <w:rFonts w:ascii="Calibri" w:eastAsia="Calibri" w:hAnsi="Calibri" w:cs="Calibri"/>
          <w:color w:val="1A1A2E"/>
          <w:sz w:val="19"/>
          <w:szCs w:val="19"/>
        </w:rPr>
        <w:t>architectures</w:t>
      </w:r>
      <w:proofErr w:type="gramEnd"/>
      <w:r>
        <w:rPr>
          <w:rFonts w:ascii="Calibri" w:eastAsia="Calibri" w:hAnsi="Calibri" w:cs="Calibri"/>
          <w:color w:val="1A1A2E"/>
          <w:sz w:val="19"/>
          <w:szCs w:val="19"/>
        </w:rPr>
        <w:t>, cloud-native security (Azure + AWS), and EU regulatory compliance (NIS2, DORA, GDPR, ISO 27001). Led security architecture programs at IBM Consulting covering 10+ regulated enterprise clients — translating compliance obligations into automated control frameworks, policy-as-code, and continuous monitoring pipelines. Combines defense-grade security principles (IDF Intelligence Corps) with board-level advisory skills to bridge technical risk and executive decision-making.</w:t>
      </w:r>
    </w:p>
    <w:p w14:paraId="2A93BAEF" w14:textId="77777777" w:rsidR="00757F6A" w:rsidRDefault="00000000" w:rsidP="00B0047F">
      <w:pPr>
        <w:pBdr>
          <w:bottom w:val="single" w:sz="8" w:space="4" w:color="C0392B"/>
        </w:pBdr>
        <w:bidi w:val="0"/>
        <w:spacing w:before="240" w:after="80"/>
        <w:jc w:val="both"/>
      </w:pPr>
      <w:r>
        <w:rPr>
          <w:rFonts w:ascii="Calibri" w:eastAsia="Calibri" w:hAnsi="Calibri" w:cs="Calibri"/>
          <w:b/>
          <w:bCs/>
          <w:color w:val="1B3557"/>
        </w:rPr>
        <w:t>KEY ACHIEVEMENTS</w:t>
      </w:r>
    </w:p>
    <w:p w14:paraId="00772AD6" w14:textId="77777777" w:rsidR="00757F6A" w:rsidRDefault="00757F6A" w:rsidP="00B0047F">
      <w:pPr>
        <w:bidi w:val="0"/>
        <w:spacing w:before="100"/>
        <w:jc w:val="both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73"/>
        <w:gridCol w:w="4873"/>
      </w:tblGrid>
      <w:tr w:rsidR="00757F6A" w14:paraId="6711B646" w14:textId="77777777">
        <w:tc>
          <w:tcPr>
            <w:tcW w:w="4873" w:type="dxa"/>
            <w:tcBorders>
              <w:top w:val="single" w:sz="1" w:space="0" w:color="E8CACA"/>
              <w:left w:val="single" w:sz="6" w:space="0" w:color="C0392B"/>
              <w:bottom w:val="single" w:sz="1" w:space="0" w:color="E8CACA"/>
              <w:right w:val="single" w:sz="1" w:space="0" w:color="E8CACA"/>
            </w:tcBorders>
            <w:shd w:val="clear" w:color="auto" w:fill="FBEAEA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76B2F635" w14:textId="77777777" w:rsidR="00757F6A" w:rsidRDefault="00000000" w:rsidP="00B0047F">
            <w:pPr>
              <w:bidi w:val="0"/>
              <w:jc w:val="both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Implemented Zero Trust architectures for 10+ enterprise clients eliminating standing privileged access — reducing lateral movement risk and achieving NIS2/DORA compliance with zero critical findings in first audit cycle</w:t>
            </w:r>
          </w:p>
        </w:tc>
        <w:tc>
          <w:tcPr>
            <w:tcW w:w="4873" w:type="dxa"/>
            <w:tcBorders>
              <w:top w:val="single" w:sz="1" w:space="0" w:color="E8CACA"/>
              <w:left w:val="single" w:sz="6" w:space="0" w:color="C0392B"/>
              <w:bottom w:val="single" w:sz="1" w:space="0" w:color="E8CACA"/>
              <w:right w:val="single" w:sz="1" w:space="0" w:color="E8CACA"/>
            </w:tcBorders>
            <w:shd w:val="clear" w:color="auto" w:fill="FBEAEA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4A9C3E60" w14:textId="77777777" w:rsidR="00757F6A" w:rsidRDefault="00000000" w:rsidP="00B0047F">
            <w:pPr>
              <w:bidi w:val="0"/>
              <w:jc w:val="both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Delivered board-level security programs (risk registers, KRI dashboards, investment models) for C-suites across financial services and healthcare — securing multi-million-euro security budgets</w:t>
            </w:r>
          </w:p>
        </w:tc>
      </w:tr>
      <w:tr w:rsidR="00757F6A" w14:paraId="26FDFF84" w14:textId="77777777">
        <w:tc>
          <w:tcPr>
            <w:tcW w:w="4873" w:type="dxa"/>
            <w:tcBorders>
              <w:top w:val="single" w:sz="1" w:space="0" w:color="E8CACA"/>
              <w:left w:val="single" w:sz="6" w:space="0" w:color="C0392B"/>
              <w:bottom w:val="single" w:sz="1" w:space="0" w:color="E8CACA"/>
              <w:right w:val="single" w:sz="1" w:space="0" w:color="E8CACA"/>
            </w:tcBorders>
            <w:shd w:val="clear" w:color="auto" w:fill="FBEAEA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2D8A8D9F" w14:textId="77777777" w:rsidR="00757F6A" w:rsidRDefault="00000000" w:rsidP="00B0047F">
            <w:pPr>
              <w:bidi w:val="0"/>
              <w:jc w:val="both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Automated multi-framework compliance evidence collection (NIS2, DORA, ISO 27001, GDPR) reducing audit preparation from 6 weeks to under 1 week through policy-as-code and continuous control monitoring</w:t>
            </w:r>
          </w:p>
        </w:tc>
        <w:tc>
          <w:tcPr>
            <w:tcW w:w="4873" w:type="dxa"/>
            <w:tcBorders>
              <w:top w:val="single" w:sz="1" w:space="0" w:color="E8CACA"/>
              <w:left w:val="single" w:sz="6" w:space="0" w:color="C0392B"/>
              <w:bottom w:val="single" w:sz="1" w:space="0" w:color="E8CACA"/>
              <w:right w:val="single" w:sz="1" w:space="0" w:color="E8CACA"/>
            </w:tcBorders>
            <w:shd w:val="clear" w:color="auto" w:fill="FBEAEA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3767DFB5" w14:textId="77777777" w:rsidR="00757F6A" w:rsidRDefault="00000000" w:rsidP="00B0047F">
            <w:pPr>
              <w:bidi w:val="0"/>
              <w:jc w:val="both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Designed AI/ML security governance frameworks for 4+ enterprises covering model security, data privacy controls, and responsible AI principles aligned with emerging EU AI Act requirements</w:t>
            </w:r>
          </w:p>
        </w:tc>
      </w:tr>
    </w:tbl>
    <w:p w14:paraId="30DE39F4" w14:textId="77777777" w:rsidR="00757F6A" w:rsidRDefault="00000000" w:rsidP="00B0047F">
      <w:pPr>
        <w:pBdr>
          <w:bottom w:val="single" w:sz="8" w:space="4" w:color="C0392B"/>
        </w:pBdr>
        <w:bidi w:val="0"/>
        <w:spacing w:before="240" w:after="80"/>
        <w:jc w:val="both"/>
      </w:pPr>
      <w:r>
        <w:rPr>
          <w:rFonts w:ascii="Calibri" w:eastAsia="Calibri" w:hAnsi="Calibri" w:cs="Calibri"/>
          <w:b/>
          <w:bCs/>
          <w:color w:val="1B3557"/>
        </w:rPr>
        <w:t>PROFESSIONAL EXPERIENCE</w:t>
      </w:r>
    </w:p>
    <w:p w14:paraId="5862227A" w14:textId="77777777" w:rsidR="00757F6A" w:rsidRDefault="00000000" w:rsidP="00B0047F">
      <w:pPr>
        <w:bidi w:val="0"/>
        <w:spacing w:before="240" w:after="120"/>
        <w:jc w:val="both"/>
      </w:pPr>
      <w:r>
        <w:rPr>
          <w:rFonts w:ascii="Calibri" w:eastAsia="Calibri" w:hAnsi="Calibri" w:cs="Calibri"/>
          <w:b/>
          <w:bCs/>
          <w:color w:val="1B3557"/>
          <w:sz w:val="22"/>
          <w:szCs w:val="22"/>
        </w:rPr>
        <w:t>Principal Cloud Security Architect – Enterprise Advisory</w:t>
      </w:r>
    </w:p>
    <w:p w14:paraId="47D17E2F" w14:textId="77777777" w:rsidR="00757F6A" w:rsidRDefault="00000000" w:rsidP="00B0047F">
      <w:pPr>
        <w:tabs>
          <w:tab w:val="right" w:pos="9746"/>
        </w:tabs>
        <w:bidi w:val="0"/>
        <w:spacing w:after="60"/>
        <w:jc w:val="both"/>
      </w:pPr>
      <w:r>
        <w:rPr>
          <w:rFonts w:ascii="Calibri" w:eastAsia="Calibri" w:hAnsi="Calibri" w:cs="Calibri"/>
          <w:b/>
          <w:bCs/>
          <w:color w:val="C0392B"/>
          <w:sz w:val="19"/>
          <w:szCs w:val="19"/>
        </w:rPr>
        <w:t xml:space="preserve">IBM </w:t>
      </w:r>
      <w:proofErr w:type="gramStart"/>
      <w:r>
        <w:rPr>
          <w:rFonts w:ascii="Calibri" w:eastAsia="Calibri" w:hAnsi="Calibri" w:cs="Calibri"/>
          <w:b/>
          <w:bCs/>
          <w:color w:val="C0392B"/>
          <w:sz w:val="19"/>
          <w:szCs w:val="19"/>
        </w:rPr>
        <w:t>Consulting  •</w:t>
      </w:r>
      <w:proofErr w:type="gramEnd"/>
      <w:r>
        <w:rPr>
          <w:rFonts w:ascii="Calibri" w:eastAsia="Calibri" w:hAnsi="Calibri" w:cs="Calibri"/>
          <w:b/>
          <w:bCs/>
          <w:color w:val="C0392B"/>
          <w:sz w:val="19"/>
          <w:szCs w:val="19"/>
        </w:rPr>
        <w:t xml:space="preserve">  Amsterdam, Netherlands</w:t>
      </w:r>
      <w:r>
        <w:tab/>
      </w:r>
      <w:r>
        <w:rPr>
          <w:rFonts w:ascii="Calibri" w:eastAsia="Calibri" w:hAnsi="Calibri" w:cs="Calibri"/>
          <w:i/>
          <w:iCs/>
          <w:color w:val="4A5568"/>
          <w:sz w:val="19"/>
          <w:szCs w:val="19"/>
        </w:rPr>
        <w:t>2017 – Present</w:t>
      </w:r>
    </w:p>
    <w:p w14:paraId="4AE29F13" w14:textId="77777777" w:rsidR="00757F6A" w:rsidRDefault="00000000" w:rsidP="00B0047F">
      <w:pPr>
        <w:pStyle w:val="ListParagraph"/>
        <w:numPr>
          <w:ilvl w:val="0"/>
          <w:numId w:val="2"/>
        </w:numPr>
        <w:spacing w:before="40" w:after="40"/>
        <w:jc w:val="both"/>
      </w:pPr>
      <w:r>
        <w:rPr>
          <w:rFonts w:ascii="Calibri" w:eastAsia="Calibri" w:hAnsi="Calibri" w:cs="Calibri"/>
          <w:color w:val="1A1A2E"/>
          <w:sz w:val="19"/>
          <w:szCs w:val="19"/>
        </w:rPr>
        <w:t>Serve as trusted security advisor to CISOs and C-suite executives at 10+ regulated enterprises — establishing risk frameworks that translate business objectives into Zero Trust control architectures with automated policy enforcement (Azure Policy, AWS SCPs, OPA Sentinel).</w:t>
      </w:r>
    </w:p>
    <w:p w14:paraId="72FD791C" w14:textId="77777777" w:rsidR="00757F6A" w:rsidRDefault="00000000" w:rsidP="00B0047F">
      <w:pPr>
        <w:pStyle w:val="ListParagraph"/>
        <w:numPr>
          <w:ilvl w:val="0"/>
          <w:numId w:val="2"/>
        </w:numPr>
        <w:spacing w:before="40" w:after="40"/>
        <w:jc w:val="both"/>
      </w:pPr>
      <w:r>
        <w:rPr>
          <w:rFonts w:ascii="Calibri" w:eastAsia="Calibri" w:hAnsi="Calibri" w:cs="Calibri"/>
          <w:color w:val="1A1A2E"/>
          <w:sz w:val="19"/>
          <w:szCs w:val="19"/>
        </w:rPr>
        <w:t xml:space="preserve">Design end-to-end Zero Trust architectures spanning identity (SSO, PIM, just-in-time elevation), data (KMS, DLP, SBOM), network (micro-segmentation, </w:t>
      </w:r>
      <w:proofErr w:type="spellStart"/>
      <w:r>
        <w:rPr>
          <w:rFonts w:ascii="Calibri" w:eastAsia="Calibri" w:hAnsi="Calibri" w:cs="Calibri"/>
          <w:color w:val="1A1A2E"/>
          <w:sz w:val="19"/>
          <w:szCs w:val="19"/>
        </w:rPr>
        <w:t>mTLS</w:t>
      </w:r>
      <w:proofErr w:type="spellEnd"/>
      <w:r>
        <w:rPr>
          <w:rFonts w:ascii="Calibri" w:eastAsia="Calibri" w:hAnsi="Calibri" w:cs="Calibri"/>
          <w:color w:val="1A1A2E"/>
          <w:sz w:val="19"/>
          <w:szCs w:val="19"/>
        </w:rPr>
        <w:t>), and workload (immutable infrastructure) planes — with continuous control monitoring mapped to NIS2/ISO 27001 control sets.</w:t>
      </w:r>
    </w:p>
    <w:p w14:paraId="011C25E1" w14:textId="77777777" w:rsidR="00757F6A" w:rsidRDefault="00000000" w:rsidP="00B0047F">
      <w:pPr>
        <w:pStyle w:val="ListParagraph"/>
        <w:numPr>
          <w:ilvl w:val="0"/>
          <w:numId w:val="2"/>
        </w:numPr>
        <w:spacing w:before="40" w:after="40"/>
        <w:jc w:val="both"/>
      </w:pPr>
      <w:r>
        <w:rPr>
          <w:rFonts w:ascii="Calibri" w:eastAsia="Calibri" w:hAnsi="Calibri" w:cs="Calibri"/>
          <w:color w:val="1A1A2E"/>
          <w:sz w:val="19"/>
          <w:szCs w:val="19"/>
        </w:rPr>
        <w:t>Lead multi-framework compliance programs (NIS2, DORA, ISO 27001, GDPR, PCI-DSS) through automated control mapping and evidence collection, reducing audit preparation from 6 weeks to under 1 week for 3 major financial services clients.</w:t>
      </w:r>
    </w:p>
    <w:p w14:paraId="2FE5E236" w14:textId="77777777" w:rsidR="00757F6A" w:rsidRDefault="00000000" w:rsidP="00B0047F">
      <w:pPr>
        <w:pStyle w:val="ListParagraph"/>
        <w:numPr>
          <w:ilvl w:val="0"/>
          <w:numId w:val="2"/>
        </w:numPr>
        <w:spacing w:before="40" w:after="40"/>
        <w:jc w:val="both"/>
      </w:pPr>
      <w:r>
        <w:rPr>
          <w:rFonts w:ascii="Calibri" w:eastAsia="Calibri" w:hAnsi="Calibri" w:cs="Calibri"/>
          <w:color w:val="1A1A2E"/>
          <w:sz w:val="19"/>
          <w:szCs w:val="19"/>
        </w:rPr>
        <w:t>Establish AI/ML security governance frameworks including model security, adversarial threat modeling, data privacy controls, and responsible AI principles — among the first IBM teams addressing EU AI Act readiness for enterprise clients.</w:t>
      </w:r>
    </w:p>
    <w:p w14:paraId="2123F14F" w14:textId="77777777" w:rsidR="00757F6A" w:rsidRDefault="00000000" w:rsidP="00B0047F">
      <w:pPr>
        <w:pStyle w:val="ListParagraph"/>
        <w:numPr>
          <w:ilvl w:val="0"/>
          <w:numId w:val="2"/>
        </w:numPr>
        <w:spacing w:before="40" w:after="40"/>
        <w:jc w:val="both"/>
      </w:pPr>
      <w:r>
        <w:rPr>
          <w:rFonts w:ascii="Calibri" w:eastAsia="Calibri" w:hAnsi="Calibri" w:cs="Calibri"/>
          <w:color w:val="1A1A2E"/>
          <w:sz w:val="19"/>
          <w:szCs w:val="19"/>
        </w:rPr>
        <w:t>Develop board-level security communications: risk registers, KRI dashboards, treatment roadmaps, and investment models — directly contributing to multi-million-euro security program approvals across 5+ enterprise accounts.</w:t>
      </w:r>
    </w:p>
    <w:p w14:paraId="7AED31CF" w14:textId="77777777" w:rsidR="00757F6A" w:rsidRDefault="00000000" w:rsidP="00B0047F">
      <w:pPr>
        <w:pStyle w:val="ListParagraph"/>
        <w:numPr>
          <w:ilvl w:val="0"/>
          <w:numId w:val="2"/>
        </w:numPr>
        <w:spacing w:before="40" w:after="40"/>
        <w:jc w:val="both"/>
      </w:pPr>
      <w:r>
        <w:rPr>
          <w:rFonts w:ascii="Calibri" w:eastAsia="Calibri" w:hAnsi="Calibri" w:cs="Calibri"/>
          <w:color w:val="1A1A2E"/>
          <w:sz w:val="19"/>
          <w:szCs w:val="19"/>
        </w:rPr>
        <w:t>Build third-party risk programs with vendor security assessments, supply chain risk management (SBOM), and integration with enterprise GRC platforms across 4 regulated sectors.</w:t>
      </w:r>
    </w:p>
    <w:p w14:paraId="789CCD0B" w14:textId="77777777" w:rsidR="00757F6A" w:rsidRDefault="00000000" w:rsidP="00B0047F">
      <w:pPr>
        <w:bidi w:val="0"/>
        <w:spacing w:before="240" w:after="120"/>
        <w:jc w:val="both"/>
      </w:pPr>
      <w:r>
        <w:rPr>
          <w:rFonts w:ascii="Calibri" w:eastAsia="Calibri" w:hAnsi="Calibri" w:cs="Calibri"/>
          <w:b/>
          <w:bCs/>
          <w:color w:val="1B3557"/>
          <w:sz w:val="22"/>
          <w:szCs w:val="22"/>
        </w:rPr>
        <w:t>Senior Security Architect – Cyber Advisory</w:t>
      </w:r>
    </w:p>
    <w:p w14:paraId="32730460" w14:textId="77777777" w:rsidR="00757F6A" w:rsidRDefault="00000000" w:rsidP="00B0047F">
      <w:pPr>
        <w:tabs>
          <w:tab w:val="right" w:pos="9746"/>
        </w:tabs>
        <w:bidi w:val="0"/>
        <w:spacing w:after="60"/>
        <w:jc w:val="both"/>
      </w:pPr>
      <w:proofErr w:type="gramStart"/>
      <w:r>
        <w:rPr>
          <w:rFonts w:ascii="Calibri" w:eastAsia="Calibri" w:hAnsi="Calibri" w:cs="Calibri"/>
          <w:b/>
          <w:bCs/>
          <w:color w:val="C0392B"/>
          <w:sz w:val="19"/>
          <w:szCs w:val="19"/>
        </w:rPr>
        <w:t>Deloitte  •</w:t>
      </w:r>
      <w:proofErr w:type="gramEnd"/>
      <w:r>
        <w:rPr>
          <w:rFonts w:ascii="Calibri" w:eastAsia="Calibri" w:hAnsi="Calibri" w:cs="Calibri"/>
          <w:b/>
          <w:bCs/>
          <w:color w:val="C0392B"/>
          <w:sz w:val="19"/>
          <w:szCs w:val="19"/>
        </w:rPr>
        <w:t xml:space="preserve">  Amsterdam &amp; Brussels</w:t>
      </w:r>
      <w:r>
        <w:tab/>
      </w:r>
      <w:r>
        <w:rPr>
          <w:rFonts w:ascii="Calibri" w:eastAsia="Calibri" w:hAnsi="Calibri" w:cs="Calibri"/>
          <w:i/>
          <w:iCs/>
          <w:color w:val="4A5568"/>
          <w:sz w:val="19"/>
          <w:szCs w:val="19"/>
        </w:rPr>
        <w:t>2012 – 2017</w:t>
      </w:r>
    </w:p>
    <w:p w14:paraId="017BA794" w14:textId="77777777" w:rsidR="00757F6A" w:rsidRDefault="00000000" w:rsidP="00B0047F">
      <w:pPr>
        <w:pStyle w:val="ListParagraph"/>
        <w:numPr>
          <w:ilvl w:val="0"/>
          <w:numId w:val="2"/>
        </w:numPr>
        <w:spacing w:before="40" w:after="40"/>
        <w:jc w:val="both"/>
      </w:pPr>
      <w:r>
        <w:rPr>
          <w:rFonts w:ascii="Calibri" w:eastAsia="Calibri" w:hAnsi="Calibri" w:cs="Calibri"/>
          <w:color w:val="1A1A2E"/>
          <w:sz w:val="19"/>
          <w:szCs w:val="19"/>
        </w:rPr>
        <w:t>Led cloud security transformation programs for 12+ enterprise clients — designing security-by-design architectures for Azure and AWS migrations, with layered controls across identity, network, data, and workload domains mapped to ISO 27001, NIS2, and PCI-DSS.</w:t>
      </w:r>
    </w:p>
    <w:p w14:paraId="7FD87DED" w14:textId="77777777" w:rsidR="00757F6A" w:rsidRDefault="00000000" w:rsidP="00B0047F">
      <w:pPr>
        <w:pStyle w:val="ListParagraph"/>
        <w:numPr>
          <w:ilvl w:val="0"/>
          <w:numId w:val="2"/>
        </w:numPr>
        <w:spacing w:before="40" w:after="40"/>
        <w:jc w:val="both"/>
      </w:pPr>
      <w:r>
        <w:rPr>
          <w:rFonts w:ascii="Calibri" w:eastAsia="Calibri" w:hAnsi="Calibri" w:cs="Calibri"/>
          <w:color w:val="1A1A2E"/>
          <w:sz w:val="19"/>
          <w:szCs w:val="19"/>
        </w:rPr>
        <w:t>Developed enterprise risk frameworks with quantified scoring methodologies and executive remediation roadmaps, enabling clients to prioritize security investment by measurable risk reduction.</w:t>
      </w:r>
    </w:p>
    <w:p w14:paraId="2F63F0E6" w14:textId="467AEAF6" w:rsidR="00757F6A" w:rsidRDefault="00000000" w:rsidP="00B0047F">
      <w:pPr>
        <w:pStyle w:val="ListParagraph"/>
        <w:numPr>
          <w:ilvl w:val="0"/>
          <w:numId w:val="2"/>
        </w:numPr>
        <w:spacing w:before="40" w:after="40"/>
        <w:jc w:val="both"/>
      </w:pPr>
      <w:r>
        <w:rPr>
          <w:rFonts w:ascii="Calibri" w:eastAsia="Calibri" w:hAnsi="Calibri" w:cs="Calibri"/>
          <w:color w:val="1A1A2E"/>
          <w:sz w:val="19"/>
          <w:szCs w:val="19"/>
        </w:rPr>
        <w:t>Architected IAM solutions using Azure AD, Okta, and federated SSO securing 20,000+ users across hybrid environments; embedded OIDC/OAuth2, RBAC/ABAC, and identity federation patterns into reference architectures.</w:t>
      </w:r>
    </w:p>
    <w:p w14:paraId="281D7A0D" w14:textId="77777777" w:rsidR="00757F6A" w:rsidRDefault="00000000" w:rsidP="00B0047F">
      <w:pPr>
        <w:pStyle w:val="ListParagraph"/>
        <w:numPr>
          <w:ilvl w:val="0"/>
          <w:numId w:val="2"/>
        </w:numPr>
        <w:spacing w:before="40" w:after="40"/>
        <w:jc w:val="both"/>
      </w:pPr>
      <w:r>
        <w:rPr>
          <w:rFonts w:ascii="Calibri" w:eastAsia="Calibri" w:hAnsi="Calibri" w:cs="Calibri"/>
          <w:color w:val="1A1A2E"/>
          <w:sz w:val="19"/>
          <w:szCs w:val="19"/>
        </w:rPr>
        <w:t>Conducted 20+ enterprise security assessments across financial services, retail, and public sector delivering C-suite remediation roadmaps prioritized by risk impact and regulatory exposure.</w:t>
      </w:r>
    </w:p>
    <w:p w14:paraId="0D76F096" w14:textId="77777777" w:rsidR="00B0047F" w:rsidRDefault="00B0047F" w:rsidP="00B0047F">
      <w:pPr>
        <w:bidi w:val="0"/>
        <w:spacing w:before="160" w:after="30"/>
        <w:jc w:val="both"/>
        <w:rPr>
          <w:rFonts w:ascii="Calibri" w:eastAsia="Calibri" w:hAnsi="Calibri" w:cs="Calibri"/>
          <w:b/>
          <w:bCs/>
          <w:color w:val="1B3557"/>
          <w:sz w:val="22"/>
          <w:szCs w:val="22"/>
        </w:rPr>
      </w:pPr>
    </w:p>
    <w:p w14:paraId="6869C5E7" w14:textId="77777777" w:rsidR="00B0047F" w:rsidRDefault="00B0047F" w:rsidP="00B0047F">
      <w:pPr>
        <w:bidi w:val="0"/>
        <w:spacing w:before="160" w:after="30"/>
        <w:jc w:val="both"/>
        <w:rPr>
          <w:rFonts w:ascii="Calibri" w:eastAsia="Calibri" w:hAnsi="Calibri" w:cs="Calibri"/>
          <w:b/>
          <w:bCs/>
          <w:color w:val="1B3557"/>
          <w:sz w:val="22"/>
          <w:szCs w:val="22"/>
        </w:rPr>
      </w:pPr>
    </w:p>
    <w:p w14:paraId="16B967AE" w14:textId="77777777" w:rsidR="00B0047F" w:rsidRDefault="00B0047F" w:rsidP="00B0047F">
      <w:pPr>
        <w:bidi w:val="0"/>
        <w:spacing w:before="160" w:after="30"/>
        <w:jc w:val="both"/>
        <w:rPr>
          <w:rFonts w:ascii="Calibri" w:eastAsia="Calibri" w:hAnsi="Calibri" w:cs="Calibri"/>
          <w:b/>
          <w:bCs/>
          <w:color w:val="1B3557"/>
          <w:sz w:val="22"/>
          <w:szCs w:val="22"/>
        </w:rPr>
      </w:pPr>
    </w:p>
    <w:p w14:paraId="0DE01E0A" w14:textId="7DACC761" w:rsidR="00757F6A" w:rsidRDefault="00000000" w:rsidP="00B0047F">
      <w:pPr>
        <w:bidi w:val="0"/>
        <w:spacing w:before="160" w:after="30"/>
        <w:jc w:val="both"/>
      </w:pPr>
      <w:r>
        <w:rPr>
          <w:rFonts w:ascii="Calibri" w:eastAsia="Calibri" w:hAnsi="Calibri" w:cs="Calibri"/>
          <w:b/>
          <w:bCs/>
          <w:color w:val="1B3557"/>
          <w:sz w:val="22"/>
          <w:szCs w:val="22"/>
        </w:rPr>
        <w:t>Cybersecurity Consultant</w:t>
      </w:r>
    </w:p>
    <w:p w14:paraId="69ED2CE3" w14:textId="77777777" w:rsidR="00757F6A" w:rsidRDefault="00000000" w:rsidP="00B0047F">
      <w:pPr>
        <w:tabs>
          <w:tab w:val="right" w:pos="9746"/>
        </w:tabs>
        <w:bidi w:val="0"/>
        <w:spacing w:after="60"/>
        <w:jc w:val="both"/>
      </w:pPr>
      <w:proofErr w:type="gramStart"/>
      <w:r>
        <w:rPr>
          <w:rFonts w:ascii="Calibri" w:eastAsia="Calibri" w:hAnsi="Calibri" w:cs="Calibri"/>
          <w:b/>
          <w:bCs/>
          <w:color w:val="C0392B"/>
          <w:sz w:val="19"/>
          <w:szCs w:val="19"/>
        </w:rPr>
        <w:t>Deloitte  •</w:t>
      </w:r>
      <w:proofErr w:type="gramEnd"/>
      <w:r>
        <w:rPr>
          <w:rFonts w:ascii="Calibri" w:eastAsia="Calibri" w:hAnsi="Calibri" w:cs="Calibri"/>
          <w:b/>
          <w:bCs/>
          <w:color w:val="C0392B"/>
          <w:sz w:val="19"/>
          <w:szCs w:val="19"/>
        </w:rPr>
        <w:t xml:space="preserve">  Brussels, Belgium</w:t>
      </w:r>
      <w:r>
        <w:tab/>
      </w:r>
      <w:r>
        <w:rPr>
          <w:rFonts w:ascii="Calibri" w:eastAsia="Calibri" w:hAnsi="Calibri" w:cs="Calibri"/>
          <w:i/>
          <w:iCs/>
          <w:color w:val="4A5568"/>
          <w:sz w:val="19"/>
          <w:szCs w:val="19"/>
        </w:rPr>
        <w:t>2010 – 2012</w:t>
      </w:r>
    </w:p>
    <w:p w14:paraId="4ADFF6B4" w14:textId="77777777" w:rsidR="00757F6A" w:rsidRDefault="00000000" w:rsidP="00B0047F">
      <w:pPr>
        <w:pStyle w:val="ListParagraph"/>
        <w:numPr>
          <w:ilvl w:val="0"/>
          <w:numId w:val="2"/>
        </w:numPr>
        <w:spacing w:before="40" w:after="40"/>
        <w:jc w:val="both"/>
      </w:pPr>
      <w:r>
        <w:rPr>
          <w:rFonts w:ascii="Calibri" w:eastAsia="Calibri" w:hAnsi="Calibri" w:cs="Calibri"/>
          <w:color w:val="1A1A2E"/>
          <w:sz w:val="19"/>
          <w:szCs w:val="19"/>
        </w:rPr>
        <w:t>Delivered security architecture and compliance frameworks for regulated financial and public sector clients; specialized in cloud security patterns, IAM design, and ISO 27001 / NIS2 control mapping for early cloud adopters.</w:t>
      </w:r>
    </w:p>
    <w:p w14:paraId="0D0822FF" w14:textId="77777777" w:rsidR="00757F6A" w:rsidRDefault="00000000" w:rsidP="00B0047F">
      <w:pPr>
        <w:bidi w:val="0"/>
        <w:spacing w:before="240" w:after="30"/>
        <w:jc w:val="both"/>
      </w:pPr>
      <w:r>
        <w:rPr>
          <w:rFonts w:ascii="Calibri" w:eastAsia="Calibri" w:hAnsi="Calibri" w:cs="Calibri"/>
          <w:b/>
          <w:bCs/>
          <w:color w:val="1B3557"/>
          <w:sz w:val="22"/>
          <w:szCs w:val="22"/>
        </w:rPr>
        <w:t>Security Specialist &amp; Systems Architect</w:t>
      </w:r>
    </w:p>
    <w:p w14:paraId="0C334EAE" w14:textId="77777777" w:rsidR="00757F6A" w:rsidRDefault="00000000" w:rsidP="00B0047F">
      <w:pPr>
        <w:tabs>
          <w:tab w:val="right" w:pos="9746"/>
        </w:tabs>
        <w:bidi w:val="0"/>
        <w:spacing w:after="60"/>
        <w:jc w:val="both"/>
      </w:pPr>
      <w:r>
        <w:rPr>
          <w:rFonts w:ascii="Calibri" w:eastAsia="Calibri" w:hAnsi="Calibri" w:cs="Calibri"/>
          <w:b/>
          <w:bCs/>
          <w:color w:val="C0392B"/>
          <w:sz w:val="19"/>
          <w:szCs w:val="19"/>
        </w:rPr>
        <w:t xml:space="preserve">IDF – Intelligence </w:t>
      </w:r>
      <w:proofErr w:type="gramStart"/>
      <w:r>
        <w:rPr>
          <w:rFonts w:ascii="Calibri" w:eastAsia="Calibri" w:hAnsi="Calibri" w:cs="Calibri"/>
          <w:b/>
          <w:bCs/>
          <w:color w:val="C0392B"/>
          <w:sz w:val="19"/>
          <w:szCs w:val="19"/>
        </w:rPr>
        <w:t>Corps  •</w:t>
      </w:r>
      <w:proofErr w:type="gramEnd"/>
      <w:r>
        <w:rPr>
          <w:rFonts w:ascii="Calibri" w:eastAsia="Calibri" w:hAnsi="Calibri" w:cs="Calibri"/>
          <w:b/>
          <w:bCs/>
          <w:color w:val="C0392B"/>
          <w:sz w:val="19"/>
          <w:szCs w:val="19"/>
        </w:rPr>
        <w:t xml:space="preserve">  Israel</w:t>
      </w:r>
      <w:r>
        <w:tab/>
      </w:r>
      <w:r>
        <w:rPr>
          <w:rFonts w:ascii="Calibri" w:eastAsia="Calibri" w:hAnsi="Calibri" w:cs="Calibri"/>
          <w:i/>
          <w:iCs/>
          <w:color w:val="4A5568"/>
          <w:sz w:val="19"/>
          <w:szCs w:val="19"/>
        </w:rPr>
        <w:t>2005 – 2010</w:t>
      </w:r>
    </w:p>
    <w:p w14:paraId="275E2BF9" w14:textId="77777777" w:rsidR="00757F6A" w:rsidRDefault="00000000" w:rsidP="00B0047F">
      <w:pPr>
        <w:pStyle w:val="ListParagraph"/>
        <w:numPr>
          <w:ilvl w:val="0"/>
          <w:numId w:val="2"/>
        </w:numPr>
        <w:spacing w:before="40" w:after="40"/>
        <w:jc w:val="both"/>
      </w:pPr>
      <w:r>
        <w:rPr>
          <w:rFonts w:ascii="Calibri" w:eastAsia="Calibri" w:hAnsi="Calibri" w:cs="Calibri"/>
          <w:color w:val="1A1A2E"/>
          <w:sz w:val="19"/>
          <w:szCs w:val="19"/>
        </w:rPr>
        <w:t>Led security operations and incident response for classified mission-critical environments achieving TOP SECRET system accreditation; applied defense-grade Zero Trust, micro-segmentation, and HA/DR principles that directly shape current enterprise security architecture practice.</w:t>
      </w:r>
    </w:p>
    <w:p w14:paraId="62C9C33A" w14:textId="77777777" w:rsidR="00757F6A" w:rsidRDefault="00757F6A" w:rsidP="00B0047F">
      <w:pPr>
        <w:bidi w:val="0"/>
        <w:spacing w:before="200"/>
        <w:jc w:val="both"/>
      </w:pPr>
    </w:p>
    <w:p w14:paraId="715364C1" w14:textId="77777777" w:rsidR="00757F6A" w:rsidRDefault="00000000" w:rsidP="00B0047F">
      <w:pPr>
        <w:pBdr>
          <w:bottom w:val="single" w:sz="8" w:space="4" w:color="C0392B"/>
        </w:pBdr>
        <w:bidi w:val="0"/>
        <w:spacing w:before="200" w:after="80"/>
        <w:jc w:val="both"/>
      </w:pPr>
      <w:r>
        <w:rPr>
          <w:rFonts w:ascii="Calibri" w:eastAsia="Calibri" w:hAnsi="Calibri" w:cs="Calibri"/>
          <w:b/>
          <w:bCs/>
          <w:color w:val="1B3557"/>
        </w:rPr>
        <w:t>CORE COMPETENCIES</w:t>
      </w:r>
    </w:p>
    <w:p w14:paraId="274D3467" w14:textId="77777777" w:rsidR="00757F6A" w:rsidRDefault="00757F6A" w:rsidP="00B0047F">
      <w:pPr>
        <w:bidi w:val="0"/>
        <w:spacing w:before="100"/>
        <w:jc w:val="both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73"/>
        <w:gridCol w:w="4873"/>
      </w:tblGrid>
      <w:tr w:rsidR="00757F6A" w14:paraId="4BA66DDE" w14:textId="77777777">
        <w:tc>
          <w:tcPr>
            <w:tcW w:w="4873" w:type="dxa"/>
            <w:tcBorders>
              <w:top w:val="single" w:sz="1" w:space="0" w:color="E8CACA"/>
              <w:left w:val="single" w:sz="1" w:space="0" w:color="E8CACA"/>
              <w:bottom w:val="single" w:sz="1" w:space="0" w:color="E8CACA"/>
              <w:right w:val="single" w:sz="1" w:space="0" w:color="E8CACA"/>
            </w:tcBorders>
            <w:shd w:val="clear" w:color="auto" w:fill="FBEAE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7E029A9" w14:textId="77777777" w:rsidR="00757F6A" w:rsidRDefault="00000000" w:rsidP="00B0047F">
            <w:pPr>
              <w:bidi w:val="0"/>
              <w:spacing w:after="60"/>
              <w:jc w:val="both"/>
            </w:pPr>
            <w:r>
              <w:rPr>
                <w:rFonts w:ascii="Calibri" w:eastAsia="Calibri" w:hAnsi="Calibri" w:cs="Calibri"/>
                <w:b/>
                <w:bCs/>
                <w:color w:val="1B3557"/>
                <w:sz w:val="19"/>
                <w:szCs w:val="19"/>
              </w:rPr>
              <w:t>Security Architecture</w:t>
            </w:r>
          </w:p>
          <w:p w14:paraId="4DAB14DB" w14:textId="77777777" w:rsidR="00757F6A" w:rsidRDefault="00000000" w:rsidP="00B0047F">
            <w:pPr>
              <w:bidi w:val="0"/>
              <w:jc w:val="both"/>
            </w:pPr>
            <w:r>
              <w:rPr>
                <w:rFonts w:ascii="Calibri" w:eastAsia="Calibri" w:hAnsi="Calibri" w:cs="Calibri"/>
                <w:color w:val="4A5568"/>
                <w:sz w:val="17"/>
                <w:szCs w:val="17"/>
              </w:rPr>
              <w:t>Zero Trust Architecture (Identity, Network, Data, Workload planes) Defense-in-Depth, Security-by-Design, Cloud Security (Azure/AWS) Identity &amp; Access Management: SSO, PIM, JIT, RBAC/ABAC AI/ML Security Governance, Supply Chain Security &amp; SBOM</w:t>
            </w:r>
          </w:p>
        </w:tc>
        <w:tc>
          <w:tcPr>
            <w:tcW w:w="4873" w:type="dxa"/>
            <w:tcBorders>
              <w:top w:val="single" w:sz="1" w:space="0" w:color="E8CACA"/>
              <w:left w:val="single" w:sz="1" w:space="0" w:color="E8CACA"/>
              <w:bottom w:val="single" w:sz="1" w:space="0" w:color="E8CACA"/>
              <w:right w:val="single" w:sz="1" w:space="0" w:color="E8CACA"/>
            </w:tcBorders>
            <w:shd w:val="clear" w:color="auto" w:fill="FBEAE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74BF4F1" w14:textId="77777777" w:rsidR="00757F6A" w:rsidRDefault="00000000" w:rsidP="00B0047F">
            <w:pPr>
              <w:bidi w:val="0"/>
              <w:spacing w:after="60"/>
              <w:jc w:val="both"/>
            </w:pPr>
            <w:r>
              <w:rPr>
                <w:rFonts w:ascii="Calibri" w:eastAsia="Calibri" w:hAnsi="Calibri" w:cs="Calibri"/>
                <w:b/>
                <w:bCs/>
                <w:color w:val="1B3557"/>
                <w:sz w:val="19"/>
                <w:szCs w:val="19"/>
              </w:rPr>
              <w:t>Cloud Security (Azure &amp; AWS)</w:t>
            </w:r>
          </w:p>
          <w:p w14:paraId="7800A427" w14:textId="77777777" w:rsidR="00757F6A" w:rsidRDefault="00000000" w:rsidP="00B0047F">
            <w:pPr>
              <w:bidi w:val="0"/>
              <w:jc w:val="both"/>
            </w:pPr>
            <w:r>
              <w:rPr>
                <w:rFonts w:ascii="Calibri" w:eastAsia="Calibri" w:hAnsi="Calibri" w:cs="Calibri"/>
                <w:color w:val="4A5568"/>
                <w:sz w:val="17"/>
                <w:szCs w:val="17"/>
              </w:rPr>
              <w:t xml:space="preserve">AZ-500: Defender for Cloud, Sentinel, Key Vault, DLP, Purview AWS Security Hub, </w:t>
            </w:r>
            <w:proofErr w:type="spellStart"/>
            <w:r>
              <w:rPr>
                <w:rFonts w:ascii="Calibri" w:eastAsia="Calibri" w:hAnsi="Calibri" w:cs="Calibri"/>
                <w:color w:val="4A5568"/>
                <w:sz w:val="17"/>
                <w:szCs w:val="17"/>
              </w:rPr>
              <w:t>GuardDuty</w:t>
            </w:r>
            <w:proofErr w:type="spellEnd"/>
            <w:r>
              <w:rPr>
                <w:rFonts w:ascii="Calibri" w:eastAsia="Calibri" w:hAnsi="Calibri" w:cs="Calibri"/>
                <w:color w:val="4A5568"/>
                <w:sz w:val="17"/>
                <w:szCs w:val="17"/>
              </w:rPr>
              <w:t xml:space="preserve">, Macie, IAM Identity Center Zero Trust Network: micro-segmentation, </w:t>
            </w:r>
            <w:proofErr w:type="spellStart"/>
            <w:r>
              <w:rPr>
                <w:rFonts w:ascii="Calibri" w:eastAsia="Calibri" w:hAnsi="Calibri" w:cs="Calibri"/>
                <w:color w:val="4A5568"/>
                <w:sz w:val="17"/>
                <w:szCs w:val="17"/>
              </w:rPr>
              <w:t>mTLS</w:t>
            </w:r>
            <w:proofErr w:type="spellEnd"/>
            <w:r>
              <w:rPr>
                <w:rFonts w:ascii="Calibri" w:eastAsia="Calibri" w:hAnsi="Calibri" w:cs="Calibri"/>
                <w:color w:val="4A5568"/>
                <w:sz w:val="17"/>
                <w:szCs w:val="17"/>
              </w:rPr>
              <w:t>, Private Endpoints Immutable Infrastructure, Container Security (AKS/EKS), CSPM</w:t>
            </w:r>
          </w:p>
        </w:tc>
      </w:tr>
      <w:tr w:rsidR="00757F6A" w14:paraId="1436FE53" w14:textId="77777777">
        <w:tc>
          <w:tcPr>
            <w:tcW w:w="4873" w:type="dxa"/>
            <w:tcBorders>
              <w:top w:val="single" w:sz="1" w:space="0" w:color="E8CACA"/>
              <w:left w:val="single" w:sz="1" w:space="0" w:color="E8CACA"/>
              <w:bottom w:val="single" w:sz="1" w:space="0" w:color="E8CACA"/>
              <w:right w:val="single" w:sz="1" w:space="0" w:color="E8CACA"/>
            </w:tcBorders>
            <w:shd w:val="clear" w:color="auto" w:fill="FBEAE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AD1C7AC" w14:textId="77777777" w:rsidR="00757F6A" w:rsidRDefault="00000000" w:rsidP="00B0047F">
            <w:pPr>
              <w:bidi w:val="0"/>
              <w:spacing w:after="60"/>
              <w:jc w:val="both"/>
            </w:pPr>
            <w:r>
              <w:rPr>
                <w:rFonts w:ascii="Calibri" w:eastAsia="Calibri" w:hAnsi="Calibri" w:cs="Calibri"/>
                <w:b/>
                <w:bCs/>
                <w:color w:val="1B3557"/>
                <w:sz w:val="19"/>
                <w:szCs w:val="19"/>
              </w:rPr>
              <w:t>Compliance &amp; Risk (EU Focus)</w:t>
            </w:r>
          </w:p>
          <w:p w14:paraId="6CE5EC25" w14:textId="77777777" w:rsidR="00757F6A" w:rsidRDefault="00000000" w:rsidP="00B0047F">
            <w:pPr>
              <w:bidi w:val="0"/>
              <w:jc w:val="both"/>
            </w:pPr>
            <w:r>
              <w:rPr>
                <w:rFonts w:ascii="Calibri" w:eastAsia="Calibri" w:hAnsi="Calibri" w:cs="Calibri"/>
                <w:color w:val="4A5568"/>
                <w:sz w:val="17"/>
                <w:szCs w:val="17"/>
              </w:rPr>
              <w:t>NIS2, DORA, ISO 27001/27002, GDPR, PCI-DSS, SOC 2 NIST Cybersecurity Framework, CIS Controls Policy-as-Code: OPA, Sentinel, Azure Policy, AWS SCPs Automated evidence collection, Third-Party Risk Management</w:t>
            </w:r>
          </w:p>
        </w:tc>
        <w:tc>
          <w:tcPr>
            <w:tcW w:w="4873" w:type="dxa"/>
            <w:tcBorders>
              <w:top w:val="single" w:sz="1" w:space="0" w:color="E8CACA"/>
              <w:left w:val="single" w:sz="1" w:space="0" w:color="E8CACA"/>
              <w:bottom w:val="single" w:sz="1" w:space="0" w:color="E8CACA"/>
              <w:right w:val="single" w:sz="1" w:space="0" w:color="E8CACA"/>
            </w:tcBorders>
            <w:shd w:val="clear" w:color="auto" w:fill="FBEAE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BA13F67" w14:textId="77777777" w:rsidR="00757F6A" w:rsidRDefault="00000000" w:rsidP="00B0047F">
            <w:pPr>
              <w:bidi w:val="0"/>
              <w:spacing w:after="60"/>
              <w:jc w:val="both"/>
            </w:pPr>
            <w:r>
              <w:rPr>
                <w:rFonts w:ascii="Calibri" w:eastAsia="Calibri" w:hAnsi="Calibri" w:cs="Calibri"/>
                <w:b/>
                <w:bCs/>
                <w:color w:val="1B3557"/>
                <w:sz w:val="19"/>
                <w:szCs w:val="19"/>
              </w:rPr>
              <w:t>Leadership &amp; Advisory</w:t>
            </w:r>
          </w:p>
          <w:p w14:paraId="040A24EB" w14:textId="77777777" w:rsidR="00757F6A" w:rsidRDefault="00000000" w:rsidP="00B0047F">
            <w:pPr>
              <w:bidi w:val="0"/>
              <w:jc w:val="both"/>
            </w:pPr>
            <w:r>
              <w:rPr>
                <w:rFonts w:ascii="Calibri" w:eastAsia="Calibri" w:hAnsi="Calibri" w:cs="Calibri"/>
                <w:color w:val="4A5568"/>
                <w:sz w:val="17"/>
                <w:szCs w:val="17"/>
              </w:rPr>
              <w:t>CISO Advisory, Board-Level Risk Communications KRI Reporting, Security Investment Modeling Cross-functional Program Leadership (legal, tech, business) Security Strategy, Enterprise Risk Management, Governance Design</w:t>
            </w:r>
          </w:p>
        </w:tc>
      </w:tr>
    </w:tbl>
    <w:p w14:paraId="1CC77D69" w14:textId="77777777" w:rsidR="00757F6A" w:rsidRDefault="00757F6A" w:rsidP="00B0047F">
      <w:pPr>
        <w:bidi w:val="0"/>
        <w:spacing w:before="200"/>
        <w:jc w:val="both"/>
      </w:pPr>
    </w:p>
    <w:p w14:paraId="2C22F505" w14:textId="77777777" w:rsidR="00757F6A" w:rsidRDefault="00000000" w:rsidP="00B0047F">
      <w:pPr>
        <w:pBdr>
          <w:bottom w:val="single" w:sz="8" w:space="4" w:color="C0392B"/>
        </w:pBdr>
        <w:bidi w:val="0"/>
        <w:spacing w:before="200" w:after="80"/>
        <w:jc w:val="both"/>
      </w:pPr>
      <w:r>
        <w:rPr>
          <w:rFonts w:ascii="Calibri" w:eastAsia="Calibri" w:hAnsi="Calibri" w:cs="Calibri"/>
          <w:b/>
          <w:bCs/>
          <w:color w:val="1B3557"/>
        </w:rPr>
        <w:t>CERTIFICATIONS &amp; EDUCATION</w:t>
      </w:r>
    </w:p>
    <w:p w14:paraId="541E8C6B" w14:textId="77777777" w:rsidR="00757F6A" w:rsidRDefault="00757F6A" w:rsidP="00B0047F">
      <w:pPr>
        <w:bidi w:val="0"/>
        <w:spacing w:before="100"/>
        <w:jc w:val="both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48"/>
        <w:gridCol w:w="3249"/>
        <w:gridCol w:w="3249"/>
      </w:tblGrid>
      <w:tr w:rsidR="00757F6A" w14:paraId="1B2A51BF" w14:textId="77777777">
        <w:tc>
          <w:tcPr>
            <w:tcW w:w="3248" w:type="dxa"/>
            <w:tcBorders>
              <w:top w:val="single" w:sz="1" w:space="0" w:color="E8CACA"/>
              <w:left w:val="single" w:sz="1" w:space="0" w:color="E8CACA"/>
              <w:bottom w:val="single" w:sz="1" w:space="0" w:color="E8CACA"/>
              <w:right w:val="single" w:sz="1" w:space="0" w:color="E8CACA"/>
            </w:tcBorders>
            <w:shd w:val="clear" w:color="auto" w:fill="FBEAE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FDC947" w14:textId="77777777" w:rsidR="00757F6A" w:rsidRDefault="00000000" w:rsidP="00B0047F">
            <w:pPr>
              <w:bidi w:val="0"/>
              <w:jc w:val="both"/>
            </w:pPr>
            <w:r>
              <w:rPr>
                <w:rFonts w:ascii="Calibri" w:eastAsia="Calibri" w:hAnsi="Calibri" w:cs="Calibri"/>
                <w:color w:val="1B3557"/>
                <w:sz w:val="17"/>
                <w:szCs w:val="17"/>
              </w:rPr>
              <w:t>CISSP – Certified Information Systems Security Professional</w:t>
            </w:r>
          </w:p>
        </w:tc>
        <w:tc>
          <w:tcPr>
            <w:tcW w:w="3248" w:type="dxa"/>
            <w:tcBorders>
              <w:top w:val="single" w:sz="1" w:space="0" w:color="E8CACA"/>
              <w:left w:val="single" w:sz="1" w:space="0" w:color="E8CACA"/>
              <w:bottom w:val="single" w:sz="1" w:space="0" w:color="E8CACA"/>
              <w:right w:val="single" w:sz="1" w:space="0" w:color="E8CACA"/>
            </w:tcBorders>
            <w:shd w:val="clear" w:color="auto" w:fill="FBEAE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1F6B8E" w14:textId="77777777" w:rsidR="00757F6A" w:rsidRDefault="00000000" w:rsidP="00B0047F">
            <w:pPr>
              <w:bidi w:val="0"/>
              <w:jc w:val="both"/>
            </w:pPr>
            <w:r>
              <w:rPr>
                <w:rFonts w:ascii="Calibri" w:eastAsia="Calibri" w:hAnsi="Calibri" w:cs="Calibri"/>
                <w:color w:val="1B3557"/>
                <w:sz w:val="17"/>
                <w:szCs w:val="17"/>
              </w:rPr>
              <w:t>CCSP – Certified Cloud Security Professional</w:t>
            </w:r>
          </w:p>
        </w:tc>
        <w:tc>
          <w:tcPr>
            <w:tcW w:w="3248" w:type="dxa"/>
            <w:tcBorders>
              <w:top w:val="single" w:sz="1" w:space="0" w:color="E8CACA"/>
              <w:left w:val="single" w:sz="1" w:space="0" w:color="E8CACA"/>
              <w:bottom w:val="single" w:sz="1" w:space="0" w:color="E8CACA"/>
              <w:right w:val="single" w:sz="1" w:space="0" w:color="E8CACA"/>
            </w:tcBorders>
            <w:shd w:val="clear" w:color="auto" w:fill="FBEAE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6DFA5B" w14:textId="77777777" w:rsidR="00757F6A" w:rsidRDefault="00000000" w:rsidP="00B0047F">
            <w:pPr>
              <w:bidi w:val="0"/>
              <w:jc w:val="both"/>
            </w:pPr>
            <w:r>
              <w:rPr>
                <w:rFonts w:ascii="Calibri" w:eastAsia="Calibri" w:hAnsi="Calibri" w:cs="Calibri"/>
                <w:color w:val="1B3557"/>
                <w:sz w:val="17"/>
                <w:szCs w:val="17"/>
              </w:rPr>
              <w:t>AWS Certified Security – Specialty</w:t>
            </w:r>
          </w:p>
        </w:tc>
      </w:tr>
      <w:tr w:rsidR="00757F6A" w14:paraId="2F3D3A7F" w14:textId="77777777">
        <w:tc>
          <w:tcPr>
            <w:tcW w:w="3248" w:type="dxa"/>
            <w:tcBorders>
              <w:top w:val="single" w:sz="1" w:space="0" w:color="E8CACA"/>
              <w:left w:val="single" w:sz="1" w:space="0" w:color="E8CACA"/>
              <w:bottom w:val="single" w:sz="1" w:space="0" w:color="E8CACA"/>
              <w:right w:val="single" w:sz="1" w:space="0" w:color="E8CACA"/>
            </w:tcBorders>
            <w:shd w:val="clear" w:color="auto" w:fill="FBEAE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18EDA50" w14:textId="77777777" w:rsidR="00757F6A" w:rsidRDefault="00000000" w:rsidP="00B0047F">
            <w:pPr>
              <w:bidi w:val="0"/>
              <w:jc w:val="both"/>
            </w:pPr>
            <w:r>
              <w:rPr>
                <w:rFonts w:ascii="Calibri" w:eastAsia="Calibri" w:hAnsi="Calibri" w:cs="Calibri"/>
                <w:color w:val="1B3557"/>
                <w:sz w:val="17"/>
                <w:szCs w:val="17"/>
              </w:rPr>
              <w:t>AZ-500 – Azure Security Engineer</w:t>
            </w:r>
          </w:p>
        </w:tc>
        <w:tc>
          <w:tcPr>
            <w:tcW w:w="3248" w:type="dxa"/>
            <w:tcBorders>
              <w:top w:val="single" w:sz="1" w:space="0" w:color="E8CACA"/>
              <w:left w:val="single" w:sz="1" w:space="0" w:color="E8CACA"/>
              <w:bottom w:val="single" w:sz="1" w:space="0" w:color="E8CACA"/>
              <w:right w:val="single" w:sz="1" w:space="0" w:color="E8CACA"/>
            </w:tcBorders>
            <w:shd w:val="clear" w:color="auto" w:fill="FBEAE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5A054F" w14:textId="77777777" w:rsidR="00757F6A" w:rsidRDefault="00000000" w:rsidP="00B0047F">
            <w:pPr>
              <w:bidi w:val="0"/>
              <w:jc w:val="both"/>
            </w:pPr>
            <w:r>
              <w:rPr>
                <w:rFonts w:ascii="Calibri" w:eastAsia="Calibri" w:hAnsi="Calibri" w:cs="Calibri"/>
                <w:color w:val="1B3557"/>
                <w:sz w:val="17"/>
                <w:szCs w:val="17"/>
              </w:rPr>
              <w:t>ISO 27001 Lead Implementer</w:t>
            </w:r>
          </w:p>
        </w:tc>
        <w:tc>
          <w:tcPr>
            <w:tcW w:w="3248" w:type="dxa"/>
            <w:tcBorders>
              <w:top w:val="single" w:sz="1" w:space="0" w:color="E8CACA"/>
              <w:left w:val="single" w:sz="1" w:space="0" w:color="E8CACA"/>
              <w:bottom w:val="single" w:sz="1" w:space="0" w:color="E8CACA"/>
              <w:right w:val="single" w:sz="1" w:space="0" w:color="E8CACA"/>
            </w:tcBorders>
            <w:shd w:val="clear" w:color="auto" w:fill="FBEAE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8A5DCC" w14:textId="77777777" w:rsidR="00757F6A" w:rsidRDefault="00000000" w:rsidP="00B0047F">
            <w:pPr>
              <w:bidi w:val="0"/>
              <w:jc w:val="both"/>
            </w:pPr>
            <w:r>
              <w:rPr>
                <w:rFonts w:ascii="Calibri" w:eastAsia="Calibri" w:hAnsi="Calibri" w:cs="Calibri"/>
                <w:color w:val="1B3557"/>
                <w:sz w:val="17"/>
                <w:szCs w:val="17"/>
              </w:rPr>
              <w:t>AZ-305 – Azure Solutions Architect Expert</w:t>
            </w:r>
          </w:p>
        </w:tc>
      </w:tr>
      <w:tr w:rsidR="00757F6A" w14:paraId="1BF88F65" w14:textId="77777777">
        <w:tc>
          <w:tcPr>
            <w:tcW w:w="3248" w:type="dxa"/>
            <w:tcBorders>
              <w:top w:val="single" w:sz="1" w:space="0" w:color="E8CACA"/>
              <w:left w:val="single" w:sz="1" w:space="0" w:color="E8CACA"/>
              <w:bottom w:val="single" w:sz="1" w:space="0" w:color="E8CACA"/>
              <w:right w:val="single" w:sz="1" w:space="0" w:color="E8CACA"/>
            </w:tcBorders>
            <w:shd w:val="clear" w:color="auto" w:fill="FBEAE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F9D661" w14:textId="77777777" w:rsidR="00757F6A" w:rsidRDefault="00000000" w:rsidP="00B0047F">
            <w:pPr>
              <w:bidi w:val="0"/>
              <w:jc w:val="both"/>
            </w:pPr>
            <w:r>
              <w:rPr>
                <w:rFonts w:ascii="Calibri" w:eastAsia="Calibri" w:hAnsi="Calibri" w:cs="Calibri"/>
                <w:color w:val="1B3557"/>
                <w:sz w:val="17"/>
                <w:szCs w:val="17"/>
              </w:rPr>
              <w:t>TOGAF 9 Certified</w:t>
            </w:r>
          </w:p>
        </w:tc>
        <w:tc>
          <w:tcPr>
            <w:tcW w:w="3248" w:type="dxa"/>
            <w:tcBorders>
              <w:top w:val="single" w:sz="1" w:space="0" w:color="E8CACA"/>
              <w:left w:val="single" w:sz="1" w:space="0" w:color="E8CACA"/>
              <w:bottom w:val="single" w:sz="1" w:space="0" w:color="E8CACA"/>
              <w:right w:val="single" w:sz="1" w:space="0" w:color="E8CACA"/>
            </w:tcBorders>
            <w:shd w:val="clear" w:color="auto" w:fill="FBEAE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A22294" w14:textId="77777777" w:rsidR="00757F6A" w:rsidRDefault="00000000" w:rsidP="00B0047F">
            <w:pPr>
              <w:bidi w:val="0"/>
              <w:jc w:val="both"/>
            </w:pPr>
            <w:r>
              <w:rPr>
                <w:rFonts w:ascii="Calibri" w:eastAsia="Calibri" w:hAnsi="Calibri" w:cs="Calibri"/>
                <w:color w:val="1B3557"/>
                <w:sz w:val="17"/>
                <w:szCs w:val="17"/>
              </w:rPr>
              <w:t>ITIL 4 Foundation</w:t>
            </w:r>
          </w:p>
        </w:tc>
        <w:tc>
          <w:tcPr>
            <w:tcW w:w="3248" w:type="dxa"/>
            <w:tcBorders>
              <w:top w:val="single" w:sz="1" w:space="0" w:color="E8CACA"/>
              <w:left w:val="single" w:sz="1" w:space="0" w:color="E8CACA"/>
              <w:bottom w:val="single" w:sz="1" w:space="0" w:color="E8CACA"/>
              <w:right w:val="single" w:sz="1" w:space="0" w:color="E8CACA"/>
            </w:tcBorders>
            <w:shd w:val="clear" w:color="auto" w:fill="FBEAE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154B5B" w14:textId="77777777" w:rsidR="00757F6A" w:rsidRDefault="00000000" w:rsidP="00B0047F">
            <w:pPr>
              <w:bidi w:val="0"/>
              <w:jc w:val="both"/>
            </w:pPr>
            <w:r>
              <w:rPr>
                <w:rFonts w:ascii="Calibri" w:eastAsia="Calibri" w:hAnsi="Calibri" w:cs="Calibri"/>
                <w:color w:val="1B3557"/>
                <w:sz w:val="17"/>
                <w:szCs w:val="17"/>
              </w:rPr>
              <w:t>AZ-400 – Azure DevOps Engineer</w:t>
            </w:r>
          </w:p>
        </w:tc>
      </w:tr>
    </w:tbl>
    <w:p w14:paraId="29A1C50C" w14:textId="77777777" w:rsidR="00757F6A" w:rsidRDefault="00757F6A" w:rsidP="00B0047F">
      <w:pPr>
        <w:bidi w:val="0"/>
        <w:spacing w:before="120"/>
        <w:jc w:val="both"/>
      </w:pPr>
    </w:p>
    <w:p w14:paraId="77700493" w14:textId="77777777" w:rsidR="00B0047F" w:rsidRDefault="00000000" w:rsidP="00B0047F">
      <w:pPr>
        <w:bidi w:val="0"/>
        <w:jc w:val="both"/>
        <w:rPr>
          <w:rFonts w:ascii="Calibri" w:eastAsia="Calibri" w:hAnsi="Calibri" w:cs="Calibri"/>
          <w:b/>
          <w:bCs/>
          <w:color w:val="1B3557"/>
          <w:sz w:val="19"/>
          <w:szCs w:val="19"/>
        </w:rPr>
      </w:pPr>
      <w:r>
        <w:rPr>
          <w:rFonts w:ascii="Calibri" w:eastAsia="Calibri" w:hAnsi="Calibri" w:cs="Calibri"/>
          <w:b/>
          <w:bCs/>
          <w:color w:val="1B3557"/>
          <w:sz w:val="19"/>
          <w:szCs w:val="19"/>
        </w:rPr>
        <w:t xml:space="preserve">Education: </w:t>
      </w:r>
      <w:r>
        <w:rPr>
          <w:rFonts w:ascii="Calibri" w:eastAsia="Calibri" w:hAnsi="Calibri" w:cs="Calibri"/>
          <w:color w:val="1A1A2E"/>
          <w:sz w:val="19"/>
          <w:szCs w:val="19"/>
        </w:rPr>
        <w:t>B.Sc. Industrial Engineering &amp; Management — Technion, Israel Institute of Technology</w:t>
      </w:r>
      <w:r>
        <w:rPr>
          <w:rFonts w:ascii="Calibri" w:eastAsia="Calibri" w:hAnsi="Calibri" w:cs="Calibri"/>
          <w:b/>
          <w:bCs/>
          <w:color w:val="1B3557"/>
          <w:sz w:val="19"/>
          <w:szCs w:val="19"/>
        </w:rPr>
        <w:t xml:space="preserve">  </w:t>
      </w:r>
    </w:p>
    <w:p w14:paraId="3E112F68" w14:textId="1F6C796F" w:rsidR="00757F6A" w:rsidRDefault="00000000" w:rsidP="00B0047F">
      <w:pPr>
        <w:bidi w:val="0"/>
        <w:jc w:val="both"/>
      </w:pPr>
      <w:r>
        <w:rPr>
          <w:rFonts w:ascii="Calibri" w:eastAsia="Calibri" w:hAnsi="Calibri" w:cs="Calibri"/>
          <w:b/>
          <w:bCs/>
          <w:color w:val="1B3557"/>
          <w:sz w:val="19"/>
          <w:szCs w:val="19"/>
        </w:rPr>
        <w:t xml:space="preserve">Languages: </w:t>
      </w:r>
      <w:r>
        <w:rPr>
          <w:rFonts w:ascii="Calibri" w:eastAsia="Calibri" w:hAnsi="Calibri" w:cs="Calibri"/>
          <w:color w:val="1A1A2E"/>
          <w:sz w:val="19"/>
          <w:szCs w:val="19"/>
        </w:rPr>
        <w:t>English (Fluent), Hebrew (Native)</w:t>
      </w:r>
    </w:p>
    <w:sectPr w:rsidR="00757F6A">
      <w:pgSz w:w="11906" w:h="16838"/>
      <w:pgMar w:top="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C02BF0"/>
    <w:multiLevelType w:val="hybridMultilevel"/>
    <w:tmpl w:val="BC76B26C"/>
    <w:lvl w:ilvl="0" w:tplc="60C8380E">
      <w:start w:val="1"/>
      <w:numFmt w:val="bullet"/>
      <w:lvlText w:val="▸"/>
      <w:lvlJc w:val="left"/>
      <w:pPr>
        <w:ind w:left="360" w:hanging="260"/>
      </w:pPr>
      <w:rPr>
        <w:color w:val="C0392B"/>
        <w:sz w:val="18"/>
        <w:szCs w:val="18"/>
      </w:rPr>
    </w:lvl>
    <w:lvl w:ilvl="1" w:tplc="BEC8B8C4">
      <w:numFmt w:val="decimal"/>
      <w:lvlText w:val=""/>
      <w:lvlJc w:val="left"/>
    </w:lvl>
    <w:lvl w:ilvl="2" w:tplc="BAF629A6">
      <w:numFmt w:val="decimal"/>
      <w:lvlText w:val=""/>
      <w:lvlJc w:val="left"/>
    </w:lvl>
    <w:lvl w:ilvl="3" w:tplc="3E38599A">
      <w:numFmt w:val="decimal"/>
      <w:lvlText w:val=""/>
      <w:lvlJc w:val="left"/>
    </w:lvl>
    <w:lvl w:ilvl="4" w:tplc="EB00E388">
      <w:numFmt w:val="decimal"/>
      <w:lvlText w:val=""/>
      <w:lvlJc w:val="left"/>
    </w:lvl>
    <w:lvl w:ilvl="5" w:tplc="9C32CC56">
      <w:numFmt w:val="decimal"/>
      <w:lvlText w:val=""/>
      <w:lvlJc w:val="left"/>
    </w:lvl>
    <w:lvl w:ilvl="6" w:tplc="979CBB58">
      <w:numFmt w:val="decimal"/>
      <w:lvlText w:val=""/>
      <w:lvlJc w:val="left"/>
    </w:lvl>
    <w:lvl w:ilvl="7" w:tplc="B60425DE">
      <w:numFmt w:val="decimal"/>
      <w:lvlText w:val=""/>
      <w:lvlJc w:val="left"/>
    </w:lvl>
    <w:lvl w:ilvl="8" w:tplc="3FC49E8E">
      <w:numFmt w:val="decimal"/>
      <w:lvlText w:val=""/>
      <w:lvlJc w:val="left"/>
    </w:lvl>
  </w:abstractNum>
  <w:abstractNum w:abstractNumId="1" w15:restartNumberingAfterBreak="0">
    <w:nsid w:val="2F063D24"/>
    <w:multiLevelType w:val="hybridMultilevel"/>
    <w:tmpl w:val="A268DC6A"/>
    <w:lvl w:ilvl="0" w:tplc="666E0A18">
      <w:start w:val="1"/>
      <w:numFmt w:val="bullet"/>
      <w:lvlText w:val="●"/>
      <w:lvlJc w:val="left"/>
      <w:pPr>
        <w:ind w:left="720" w:hanging="360"/>
      </w:pPr>
    </w:lvl>
    <w:lvl w:ilvl="1" w:tplc="8E68A820">
      <w:start w:val="1"/>
      <w:numFmt w:val="bullet"/>
      <w:lvlText w:val="○"/>
      <w:lvlJc w:val="left"/>
      <w:pPr>
        <w:ind w:left="1440" w:hanging="360"/>
      </w:pPr>
    </w:lvl>
    <w:lvl w:ilvl="2" w:tplc="48207924">
      <w:start w:val="1"/>
      <w:numFmt w:val="bullet"/>
      <w:lvlText w:val="■"/>
      <w:lvlJc w:val="left"/>
      <w:pPr>
        <w:ind w:left="2160" w:hanging="360"/>
      </w:pPr>
    </w:lvl>
    <w:lvl w:ilvl="3" w:tplc="EA72DAA8">
      <w:start w:val="1"/>
      <w:numFmt w:val="bullet"/>
      <w:lvlText w:val="●"/>
      <w:lvlJc w:val="left"/>
      <w:pPr>
        <w:ind w:left="2880" w:hanging="360"/>
      </w:pPr>
    </w:lvl>
    <w:lvl w:ilvl="4" w:tplc="DB2A59BA">
      <w:start w:val="1"/>
      <w:numFmt w:val="bullet"/>
      <w:lvlText w:val="○"/>
      <w:lvlJc w:val="left"/>
      <w:pPr>
        <w:ind w:left="3600" w:hanging="360"/>
      </w:pPr>
    </w:lvl>
    <w:lvl w:ilvl="5" w:tplc="88A4742E">
      <w:start w:val="1"/>
      <w:numFmt w:val="bullet"/>
      <w:lvlText w:val="■"/>
      <w:lvlJc w:val="left"/>
      <w:pPr>
        <w:ind w:left="4320" w:hanging="360"/>
      </w:pPr>
    </w:lvl>
    <w:lvl w:ilvl="6" w:tplc="ADF404AA">
      <w:start w:val="1"/>
      <w:numFmt w:val="bullet"/>
      <w:lvlText w:val="●"/>
      <w:lvlJc w:val="left"/>
      <w:pPr>
        <w:ind w:left="5040" w:hanging="360"/>
      </w:pPr>
    </w:lvl>
    <w:lvl w:ilvl="7" w:tplc="3D6CA1EA">
      <w:start w:val="1"/>
      <w:numFmt w:val="bullet"/>
      <w:lvlText w:val="●"/>
      <w:lvlJc w:val="left"/>
      <w:pPr>
        <w:ind w:left="5760" w:hanging="360"/>
      </w:pPr>
    </w:lvl>
    <w:lvl w:ilvl="8" w:tplc="348C7154">
      <w:start w:val="1"/>
      <w:numFmt w:val="bullet"/>
      <w:lvlText w:val="●"/>
      <w:lvlJc w:val="left"/>
      <w:pPr>
        <w:ind w:left="6480" w:hanging="360"/>
      </w:pPr>
    </w:lvl>
  </w:abstractNum>
  <w:num w:numId="1" w16cid:durableId="285702549">
    <w:abstractNumId w:val="1"/>
    <w:lvlOverride w:ilvl="0">
      <w:startOverride w:val="1"/>
    </w:lvlOverride>
  </w:num>
  <w:num w:numId="2" w16cid:durableId="95186700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7F6A"/>
    <w:rsid w:val="00124B42"/>
    <w:rsid w:val="001C3E49"/>
    <w:rsid w:val="00557E34"/>
    <w:rsid w:val="00757F6A"/>
    <w:rsid w:val="00B0047F"/>
    <w:rsid w:val="00B874DC"/>
    <w:rsid w:val="00C96141"/>
    <w:rsid w:val="00CA24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2065F5"/>
  <w15:docId w15:val="{A571AA4D-E537-4FCB-9FB6-49C795FD15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1068</Words>
  <Characters>5345</Characters>
  <Application>Microsoft Office Word</Application>
  <DocSecurity>0</DocSecurity>
  <Lines>44</Lines>
  <Paragraphs>12</Paragraphs>
  <ScaleCrop>false</ScaleCrop>
  <Company/>
  <LinksUpToDate>false</LinksUpToDate>
  <CharactersWithSpaces>6401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Ayala Eylath</cp:lastModifiedBy>
  <cp:revision>3</cp:revision>
  <dcterms:created xsi:type="dcterms:W3CDTF">2026-03-10T10:40:00Z</dcterms:created>
  <dcterms:modified xsi:type="dcterms:W3CDTF">2026-03-10T10:41:00Z</dcterms:modified>
</cp:coreProperties>
</file>