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jc w:val="center"/>
      </w:pPr>
      <w:r>
        <w:rPr>
          <w:rFonts w:ascii="Times New Roman" w:hAnsi="Times New Roman" w:eastAsia="SimSun"/>
          <w:b w:val="0"/>
          <w:i w:val="0"/>
          <w:sz w:val="48"/>
        </w:rPr>
        <w:t>Heimdall: Dual-Scan State-Space Modeling for Closed-Loop Discovery of IPv6 Fully Responsive Prefixes</w:t>
      </w:r>
    </w:p>
    <w:p>
      <w:pPr>
        <w:jc w:val="center"/>
      </w:pPr>
      <w:r>
        <w:rPr>
          <w:rFonts w:ascii="Times New Roman" w:hAnsi="Times New Roman" w:eastAsia="SimSun"/>
          <w:b w:val="0"/>
          <w:i w:val="0"/>
          <w:sz w:val="22"/>
        </w:rPr>
        <w:t>Anonymous Authors</w:t>
      </w:r>
    </w:p>
    <w:p>
      <w:pPr>
        <w:jc w:val="center"/>
      </w:pPr>
      <w:r>
        <w:rPr>
          <w:rFonts w:ascii="Times New Roman" w:hAnsi="Times New Roman" w:eastAsia="SimSun"/>
          <w:b w:val="0"/>
          <w:i/>
          <w:sz w:val="20"/>
        </w:rPr>
        <w:t>Anonymous Institution</w:t>
        <w:br/>
        <w:t>anon@anon.org</w:t>
      </w:r>
    </w:p>
    <w:p>
      <w:pPr>
        <w:jc w:val="center"/>
      </w:pPr>
      <w:r>
        <w:rPr>
          <w:rFonts w:ascii="Times New Roman" w:hAnsi="Times New Roman" w:eastAsia="SimSun"/>
          <w:b/>
          <w:i/>
          <w:sz w:val="18"/>
        </w:rPr>
        <w:t>Abstract</w:t>
      </w:r>
    </w:p>
    <w:p>
      <w:pPr>
        <w:ind w:firstLine="280"/>
        <w:jc w:val="both"/>
      </w:pPr>
      <w:r>
        <w:rPr>
          <w:rFonts w:ascii="Times New Roman" w:hAnsi="Times New Roman" w:eastAsia="SimSun"/>
          <w:b/>
          <w:i w:val="0"/>
          <w:sz w:val="18"/>
        </w:rPr>
        <w:t>The vast 128-bit address space of IPv6 fundamentally undermines exhaustive scanning, and target-generation algorithms (TGAs) used in its place are increasingly distorted by Fully Responsive Prefixes (FRPs)—ranges in which every probed address appears reachable. Existing FRP-discovery systems either enumerate a fixed prefix length (MAPD), which scales poorly, or grow a length-dependent search tree (Luori), which couples decisions across nibble layers. More recently, Gungnir cast FRP prediction as autoregressive language modeling with a Transformer; however, its single-axis attention captures only within-prefix bit dependencies and is trained offline, leaving two sources of information unexploited: (i) peer FRPs sharing the same Autonomous System (AS) and (ii) the probing feedback that becomes available at deployment time.</w:t>
        <w:br/>
        <w:br/>
        <w:t>We present Heimdall, a closed-loop FRP discovery system built around a Dual-Scan Hierarchical Mamba generator. Heimdall introduces a state-space model (SSM) with two orthogonal selective scans in every layer: an outer scan along the 128 bits of a single prefix, and an inner scan along the sample axis of all FRPs belonging to the same AS within a batch. An AS-conditioned gating mechanism fuses the two scans, while a coarse/medium/fine layer-wise masked language modeling objective, weighted by per-bit Shannon entropy, enables non-autoregressive three-stage generation. At deployment, Heimdall runs a closed-loop scanner that interleaves APD probing, bidirectional seed filtering, and on-the-fly fine-tuning so that every verified FRP and every miss directly steer the next round of generation. On 214,102 ICMPv6 seed FRPs across 299 ASes, Heimdall sustains ≥0.94 bit-accuracy in three-stage filling, raises end-to-end discovery throughput by up to 1.9× over Gungnir at the same probing budget, and broadens AS coverage by 1.2×, while running entirely on commodity hardware with linear-time SSM inference.</w:t>
      </w:r>
    </w:p>
    <w:p>
      <w:pPr>
        <w:ind w:firstLine="280"/>
        <w:jc w:val="both"/>
      </w:pPr>
      <w:r>
        <w:rPr>
          <w:rFonts w:ascii="Times New Roman" w:hAnsi="Times New Roman" w:eastAsia="SimSun"/>
          <w:b/>
          <w:i/>
          <w:sz w:val="18"/>
        </w:rPr>
        <w:t>Keywords—</w:t>
      </w:r>
      <w:r>
        <w:rPr>
          <w:rFonts w:ascii="Times New Roman" w:hAnsi="Times New Roman" w:eastAsia="SimSun"/>
          <w:b w:val="0"/>
          <w:i/>
          <w:sz w:val="18"/>
        </w:rPr>
        <w:t>IPv6, fully responsive prefix, network measurement, state-space model, Mamba, masked language modeling, closed-loop scanning.</w:t>
      </w:r>
    </w:p>
    <w:p>
      <w:pPr>
        <w:jc w:val="center"/>
      </w:pPr>
      <w:r>
        <w:rPr>
          <w:rFonts w:ascii="Times New Roman" w:hAnsi="Times New Roman" w:eastAsia="SimSun"/>
          <w:b w:val="0"/>
          <w:i w:val="0"/>
          <w:sz w:val="20"/>
          <w:smallCaps w:val="true"/>
        </w:rPr>
        <w:t>I. Introduction</w:t>
      </w:r>
    </w:p>
    <w:p>
      <w:pPr>
        <w:ind w:firstLine="280"/>
        <w:jc w:val="both"/>
      </w:pPr>
      <w:r>
        <w:rPr>
          <w:rFonts w:ascii="Times New Roman" w:hAnsi="Times New Roman" w:eastAsia="SimSun"/>
          <w:b w:val="0"/>
          <w:i w:val="0"/>
          <w:sz w:val="20"/>
        </w:rPr>
        <w:t>Internet-wide active scanning is a foundational primitive for security auditing [1], topology inference [3], and longitudinal Internet measurement [2]. In IPv4, exhaustive scanning of the 2³² address space is feasible; in IPv6, the 2¹²⁸-address space makes exhaustion fundamentally impossible, and scanners therefore rely on Target Generation Algorithms (TGAs) [4–8] that predict where active addresses are likely to live. TGAs in turn depend on a clean seed corpus. Unfortunately, a sizeable fraction of real IPv6 seed prefixes are Fully Responsive Prefixes (FRPs): blocks where every probed address replies, although these replies do not necessarily come from distinct hosts [9, 10]. FRPs poison TGA training, inflate hitlists, and waste probing budget.</w:t>
      </w:r>
    </w:p>
    <w:p>
      <w:pPr>
        <w:ind w:firstLine="280"/>
        <w:jc w:val="both"/>
      </w:pPr>
      <w:r>
        <w:rPr>
          <w:rFonts w:ascii="Times New Roman" w:hAnsi="Times New Roman" w:eastAsia="SimSun"/>
          <w:b w:val="0"/>
          <w:i w:val="0"/>
          <w:sz w:val="20"/>
        </w:rPr>
        <w:t>Three lines of work have addressed FRP discovery. APD and its multi-prefix extension MAPD [9] test 16 random addresses inside a candidate prefix; if all reply, the prefix is labeled FRP. MAPD must enumerate prefixes of a chosen length and is therefore unable to discover FRPs of arbitrary granularity. Luori [12] formulates FRP discovery as a Monte-Carlo Tree-Search problem, expanding the IPv6 address tree nibble by nibble; the length-dependent expansion limits scalability and forces one tree per protocol/port. Most recently, Gungnir [13] treats the problem as autoregressive language modeling: a Transformer decoder emits prefix bits conditioned on AS, organization, business category, and protocol-port tokens, generating candidates that an APD module then verifies, with a granularity-correction step to reduce length errors. Gungnir reports up to 27× inference speed-up over Luori and 4.2× wider address coverage, but it still leaves three lessons unexploited:</w:t>
      </w:r>
    </w:p>
    <w:p>
      <w:pPr>
        <w:ind w:left="560" w:hanging="280"/>
        <w:jc w:val="both"/>
      </w:pPr>
      <w:r>
        <w:rPr>
          <w:rFonts w:ascii="Times New Roman" w:hAnsi="Times New Roman" w:eastAsia="SimSun"/>
          <w:b w:val="0"/>
          <w:i w:val="0"/>
          <w:sz w:val="20"/>
        </w:rPr>
        <w:t>• L1: Peer-FRP signal is wasted. Inside the same AS, FRPs cluster heavily (§III); yet the Transformer decoder attends only within a prefix and never compares bits across sibling FRPs of the same AS in a batch.</w:t>
      </w:r>
    </w:p>
    <w:p>
      <w:pPr>
        <w:ind w:left="560" w:hanging="280"/>
        <w:jc w:val="both"/>
      </w:pPr>
      <w:r>
        <w:rPr>
          <w:rFonts w:ascii="Times New Roman" w:hAnsi="Times New Roman" w:eastAsia="SimSun"/>
          <w:b w:val="0"/>
          <w:i w:val="0"/>
          <w:sz w:val="20"/>
        </w:rPr>
        <w:t>• L2: Quadratic attention scales poorly. Self-attention is O(L²) in sequence length. For long contextual sequences (BGP prefix + AS + organization + category + sub-category + protocol + 128 bits), this overhead shows up directly in pre-training and inference time.</w:t>
      </w:r>
    </w:p>
    <w:p>
      <w:pPr>
        <w:ind w:left="560" w:hanging="280"/>
        <w:jc w:val="both"/>
      </w:pPr>
      <w:r>
        <w:rPr>
          <w:rFonts w:ascii="Times New Roman" w:hAnsi="Times New Roman" w:eastAsia="SimSun"/>
          <w:b w:val="0"/>
          <w:i w:val="0"/>
          <w:sz w:val="20"/>
        </w:rPr>
        <w:t>• L3: Generation is open-loop. Once trained, Gungnir produces the entire candidate list before any probing happens; probing feedback only enters at the post-hoc granularity step. Misleading prefixes are therefore re-generated round after round until the operator manually refreshes the seed set.</w:t>
      </w:r>
    </w:p>
    <w:p>
      <w:pPr>
        <w:ind w:firstLine="280"/>
        <w:jc w:val="both"/>
      </w:pPr>
      <w:r>
        <w:rPr>
          <w:rFonts w:ascii="Times New Roman" w:hAnsi="Times New Roman" w:eastAsia="SimSun"/>
          <w:b w:val="0"/>
          <w:i w:val="0"/>
          <w:sz w:val="20"/>
        </w:rPr>
        <w:t>Our approach. We present Heimdall, a closed-loop FRP discovery system in which the predictor is a Dual-Scan Hierarchical Mamba (DS-HMamba). Heimdall makes three deliberate departures from Gungnir.</w:t>
      </w:r>
    </w:p>
    <w:p>
      <w:pPr>
        <w:ind w:firstLine="280"/>
        <w:jc w:val="both"/>
      </w:pPr>
      <w:r>
        <w:rPr>
          <w:rFonts w:ascii="Times New Roman" w:hAnsi="Times New Roman" w:eastAsia="SimSun"/>
          <w:b w:val="0"/>
          <w:i w:val="0"/>
          <w:sz w:val="20"/>
        </w:rPr>
        <w:t>(i) Two orthogonal selective scans. Every DS-HMamba layer runs two Mamba SSM blocks [14]: an outer scan along the 128-bit axis of one prefix (the same axis Gungnir uses), and an inner scan along the sample axis grouping all FRPs of the same AS in a batch. The inner scan injects peer-AS evidence—common nibble allocations, prefix-length distributions, sub-prefix patterns—into every bit position, recovering the cross-FRP signal that single-axis attention discards. An AS-conditioned softmax gate fuses the two scans, so the model can decide per-AS how much to rely on within-prefix versus cross-prefix structure.</w:t>
      </w:r>
    </w:p>
    <w:p>
      <w:pPr>
        <w:ind w:firstLine="280"/>
        <w:jc w:val="both"/>
      </w:pPr>
      <w:r>
        <w:rPr>
          <w:rFonts w:ascii="Times New Roman" w:hAnsi="Times New Roman" w:eastAsia="SimSun"/>
          <w:b w:val="0"/>
          <w:i w:val="0"/>
          <w:sz w:val="20"/>
        </w:rPr>
        <w:t>(ii) Linear-time, non-autoregressive generation. Mamba's selective scan has linear complexity in L, so DS-HMamba's runtime grows as O(LD) rather than O(L²D). We pair this with a coarse/medium/fine masked language modeling objective: bits 0–31 (routing/aggregation), 32–63 (subnetting), and 64–127 (interface) are masked layer-by-layer during training, and filled stage-by-stage at inference. This three-pass scheme captures the natural hierarchy of IPv6 addressing while permitting parallel filling within a stage. A per-bit Shannon-entropy weight biases learning toward genuinely variable bits and away from the near-constant high bits that BGP already pins.</w:t>
      </w:r>
    </w:p>
    <w:p>
      <w:pPr>
        <w:ind w:firstLine="280"/>
        <w:jc w:val="both"/>
      </w:pPr>
      <w:r>
        <w:rPr>
          <w:rFonts w:ascii="Times New Roman" w:hAnsi="Times New Roman" w:eastAsia="SimSun"/>
          <w:b w:val="0"/>
          <w:i w:val="0"/>
          <w:sz w:val="20"/>
        </w:rPr>
        <w:t>(iii) Closed-loop probing with bidirectional seed filtering. At deployment, Heimdall interleaves three steps per round: generate candidates with DS-HMamba; run APD on candidates that survive a bidirectional seed filter (Level-1 rejects exact duplicates of known seeds, Level-2 silently discards candidates that fall inside already-known seed ranges, since they cannot extend the FRP frontier); and fine-tune the model on the round's positive (confirmed FRP) and negative (failed APD) feedback. An adaptive temperature schedule reads the Level-2 ratio and the empirical FRP rate, ramping exploration up when the model spins inside known regions and reining it back in when a fresh vein is found. Together with APD's iterative granularity refinement, the loop turns probing feedback into an online training signal, so each round directly amends the next.</w:t>
      </w:r>
    </w:p>
    <w:p>
      <w:pPr>
        <w:ind w:firstLine="280"/>
        <w:jc w:val="both"/>
      </w:pPr>
      <w:r>
        <w:rPr>
          <w:rFonts w:ascii="Times New Roman" w:hAnsi="Times New Roman" w:eastAsia="SimSun"/>
          <w:b w:val="0"/>
          <w:i w:val="0"/>
          <w:sz w:val="20"/>
        </w:rPr>
        <w:t>Contributions. This paper makes the following contributions:</w:t>
      </w:r>
    </w:p>
    <w:p>
      <w:pPr>
        <w:ind w:left="560" w:hanging="280"/>
        <w:jc w:val="both"/>
      </w:pPr>
      <w:r>
        <w:rPr>
          <w:rFonts w:ascii="Times New Roman" w:hAnsi="Times New Roman" w:eastAsia="SimSun"/>
          <w:b w:val="0"/>
          <w:i w:val="0"/>
          <w:sz w:val="20"/>
        </w:rPr>
        <w:t>• We are the first to apply selective state-space models to IPv6 FRP discovery. The proposed Dual-Scan Mamba layer simultaneously captures within-prefix bit dependencies and cross-prefix peer-AS structure, and a learnable AS-conditioned gate adaptively fuses the two views.</w:t>
      </w:r>
    </w:p>
    <w:p>
      <w:pPr>
        <w:ind w:left="560" w:hanging="280"/>
        <w:jc w:val="both"/>
      </w:pPr>
      <w:r>
        <w:rPr>
          <w:rFonts w:ascii="Times New Roman" w:hAnsi="Times New Roman" w:eastAsia="SimSun"/>
          <w:b w:val="0"/>
          <w:i w:val="0"/>
          <w:sz w:val="20"/>
        </w:rPr>
        <w:t>• We design a coarse/medium/fine layer-wise MLM objective with per-bit entropy weighting, enabling non-autoregressive three-stage filling that is faithful to IPv6's allocation hierarchy. Inference is linear in sequence length.</w:t>
      </w:r>
    </w:p>
    <w:p>
      <w:pPr>
        <w:ind w:left="560" w:hanging="280"/>
        <w:jc w:val="both"/>
      </w:pPr>
      <w:r>
        <w:rPr>
          <w:rFonts w:ascii="Times New Roman" w:hAnsi="Times New Roman" w:eastAsia="SimSun"/>
          <w:b w:val="0"/>
          <w:i w:val="0"/>
          <w:sz w:val="20"/>
        </w:rPr>
        <w:t>• We turn FRP discovery into a closed loop. A two-level SeedFilter, an adaptive temperature controller and an online APD-feedback fine-tuning step let the model improve between rounds without operator intervention.</w:t>
      </w:r>
    </w:p>
    <w:p>
      <w:pPr>
        <w:ind w:left="560" w:hanging="280"/>
        <w:jc w:val="both"/>
      </w:pPr>
      <w:r>
        <w:rPr>
          <w:rFonts w:ascii="Times New Roman" w:hAnsi="Times New Roman" w:eastAsia="SimSun"/>
          <w:b w:val="0"/>
          <w:i w:val="0"/>
          <w:sz w:val="20"/>
        </w:rPr>
        <w:t>• We implement Heimdall on commodity CPU/GPU hardware and evaluate it on 214,102 ICMPv6 seed FRPs across 299 ASes from a public BGP table. Heimdall improves discovery throughput by up to 1.9× and AS coverage by 1.2× over Gungnir at the same probing budgets, while reducing wall-clock training time by 1.7× at equal model capacity. Code and the curated FRP list will be released.</w:t>
      </w:r>
    </w:p>
    <w:p>
      <w:pPr>
        <w:jc w:val="center"/>
      </w:pPr>
      <w:r>
        <w:rPr>
          <w:rFonts w:ascii="Times New Roman" w:hAnsi="Times New Roman" w:eastAsia="SimSun"/>
          <w:b w:val="0"/>
          <w:i w:val="0"/>
          <w:sz w:val="20"/>
          <w:smallCaps w:val="true"/>
        </w:rPr>
        <w:t>II. Background and Related Work</w:t>
      </w:r>
    </w:p>
    <w:p>
      <w:pPr>
        <w:jc w:val="left"/>
      </w:pPr>
      <w:r>
        <w:rPr>
          <w:rFonts w:ascii="Times New Roman" w:hAnsi="Times New Roman" w:eastAsia="SimSun"/>
          <w:b w:val="0"/>
          <w:i/>
          <w:sz w:val="20"/>
        </w:rPr>
        <w:t>A. Fully Responsive Prefixes</w:t>
      </w:r>
    </w:p>
    <w:p>
      <w:pPr>
        <w:ind w:firstLine="280"/>
        <w:jc w:val="both"/>
      </w:pPr>
      <w:r>
        <w:rPr>
          <w:rFonts w:ascii="Times New Roman" w:hAnsi="Times New Roman" w:eastAsia="SimSun"/>
          <w:b w:val="0"/>
          <w:i w:val="0"/>
          <w:sz w:val="20"/>
        </w:rPr>
        <w:t>Murdock et al. [4] first observed that scans of certain IPv6 prefixes elicited a uniformly affirmative response, and called such ranges aliased prefixes. Zirngibl et al. [10] formalised Fully Responsive Prefixes (FRPs) as ranges with 100% probe-reply rate, dropping the assumption that all addresses must terminate at a single host. In IPv4, the analogous phenomenon is Highly Responsive Prefixes [11]. FRPs originate from CDN load balancers, honeypot mappings, IPv6 NAT/proxy address pools, and the net.ipv6.ip_nonlocal_bind sysctl which lets a single host bind any address inside a configured range.</w:t>
      </w:r>
    </w:p>
    <w:p>
      <w:pPr>
        <w:jc w:val="left"/>
      </w:pPr>
      <w:r>
        <w:rPr>
          <w:rFonts w:ascii="Times New Roman" w:hAnsi="Times New Roman" w:eastAsia="SimSun"/>
          <w:b w:val="0"/>
          <w:i/>
          <w:sz w:val="20"/>
        </w:rPr>
        <w:t>B. FRP Probing</w:t>
      </w:r>
    </w:p>
    <w:p>
      <w:pPr>
        <w:jc w:val="both"/>
      </w:pPr>
      <w:r>
        <w:rPr>
          <w:rFonts w:ascii="Times New Roman" w:hAnsi="Times New Roman" w:eastAsia="SimSun"/>
          <w:b w:val="0"/>
          <w:i w:val="0"/>
          <w:sz w:val="20"/>
        </w:rPr>
      </w:r>
      <w:r>
        <w:rPr>
          <w:rFonts w:ascii="Times New Roman" w:hAnsi="Times New Roman" w:eastAsia="SimSun"/>
          <w:b/>
          <w:i w:val="0"/>
          <w:sz w:val="20"/>
        </w:rPr>
        <w:t xml:space="preserve">APD/MAPD. </w:t>
      </w:r>
      <w:r>
        <w:rPr>
          <w:rFonts w:ascii="Times New Roman" w:hAnsi="Times New Roman" w:eastAsia="SimSun"/>
          <w:b w:val="0"/>
          <w:i w:val="0"/>
          <w:sz w:val="20"/>
        </w:rPr>
        <w:t>APD [9] samples 16 random addresses inside a candidate prefix and labels it FRP iff all 16 reply. MAPD enumerates many candidate prefixes of a fixed length and runs APD on each; it is comprehensive at small lengths but combinatorially expensive at long ones.</w:t>
      </w:r>
    </w:p>
    <w:p>
      <w:pPr>
        <w:jc w:val="both"/>
      </w:pPr>
      <w:r>
        <w:rPr>
          <w:rFonts w:ascii="Times New Roman" w:hAnsi="Times New Roman" w:eastAsia="SimSun"/>
          <w:b w:val="0"/>
          <w:i w:val="0"/>
          <w:sz w:val="20"/>
        </w:rPr>
      </w:r>
      <w:r>
        <w:rPr>
          <w:rFonts w:ascii="Times New Roman" w:hAnsi="Times New Roman" w:eastAsia="SimSun"/>
          <w:b/>
          <w:i w:val="0"/>
          <w:sz w:val="20"/>
        </w:rPr>
        <w:t xml:space="preserve">Luori. </w:t>
      </w:r>
      <w:r>
        <w:rPr>
          <w:rFonts w:ascii="Times New Roman" w:hAnsi="Times New Roman" w:eastAsia="SimSun"/>
          <w:b w:val="0"/>
          <w:i w:val="0"/>
          <w:sz w:val="20"/>
        </w:rPr>
        <w:t>Luori [12] models FRP search as MCTS over the address tree. Each tree node represents a prefix; expansion adds a nibble to the right. Its layer-by-layer expansion couples decisions across depths and forces a separate tree per protocol/port.</w:t>
      </w:r>
    </w:p>
    <w:p>
      <w:pPr>
        <w:jc w:val="both"/>
      </w:pPr>
      <w:r>
        <w:rPr>
          <w:rFonts w:ascii="Times New Roman" w:hAnsi="Times New Roman" w:eastAsia="SimSun"/>
          <w:b w:val="0"/>
          <w:i w:val="0"/>
          <w:sz w:val="20"/>
        </w:rPr>
      </w:r>
      <w:r>
        <w:rPr>
          <w:rFonts w:ascii="Times New Roman" w:hAnsi="Times New Roman" w:eastAsia="SimSun"/>
          <w:b/>
          <w:i w:val="0"/>
          <w:sz w:val="20"/>
        </w:rPr>
        <w:t xml:space="preserve">Gungnir. </w:t>
      </w:r>
      <w:r>
        <w:rPr>
          <w:rFonts w:ascii="Times New Roman" w:hAnsi="Times New Roman" w:eastAsia="SimSun"/>
          <w:b w:val="0"/>
          <w:i w:val="0"/>
          <w:sz w:val="20"/>
        </w:rPr>
        <w:t>Gungnir [13] is the first generative-AI approach to FRP discovery. A Transformer decoder reads a sequence consisting of (protocol-port, category, sub-category, organization, AS, BGP prefix, FRP-pattern bits) and is trained autoregressively with cross-entropy. At inference, Top-p sampling produces candidate FRP patterns, which are then probed by an APD module and granularity-corrected. Gungnir reports SOTA results but suffers from quadratic self-attention, single-axis modeling, and an open-loop training/probing pipeline (§I).</w:t>
      </w:r>
    </w:p>
    <w:p>
      <w:pPr>
        <w:jc w:val="left"/>
      </w:pPr>
      <w:r>
        <w:rPr>
          <w:rFonts w:ascii="Times New Roman" w:hAnsi="Times New Roman" w:eastAsia="SimSun"/>
          <w:b w:val="0"/>
          <w:i/>
          <w:sz w:val="20"/>
        </w:rPr>
        <w:t>C. Selective State-Space Models</w:t>
      </w:r>
    </w:p>
    <w:p>
      <w:pPr>
        <w:ind w:firstLine="280"/>
        <w:jc w:val="both"/>
      </w:pPr>
      <w:r>
        <w:rPr>
          <w:rFonts w:ascii="Times New Roman" w:hAnsi="Times New Roman" w:eastAsia="SimSun"/>
          <w:b w:val="0"/>
          <w:i w:val="0"/>
          <w:sz w:val="20"/>
        </w:rPr>
        <w:t>Mamba [14] introduced selective state-space models (S6) with input-dependent state transition coefficients. An S6 block runs a recurrence of the form hₜ = Āₜhₜ₋₁ + B̄ₜuₜ, yₜ = Cₜhₜ with Āₜ, B̄ₜ generated from uₜ at runtime, executed in parallel via a hardware-aware scan. Mamba models match Transformers' quality on language and audio tasks at O(L) complexity, and have been extended along multiple axes (e.g., Vision Mamba [15]). We are, to our knowledge, the first to apply selective scans to IPv6 address generation.</w:t>
      </w:r>
    </w:p>
    <w:p>
      <w:pPr>
        <w:jc w:val="center"/>
      </w:pPr>
      <w:r>
        <w:rPr>
          <w:rFonts w:ascii="Times New Roman" w:hAnsi="Times New Roman" w:eastAsia="SimSun"/>
          <w:b w:val="0"/>
          <w:i w:val="0"/>
          <w:sz w:val="20"/>
          <w:smallCaps w:val="true"/>
        </w:rPr>
        <w:t>III. Problem Analysis and Definitions</w:t>
      </w:r>
    </w:p>
    <w:p>
      <w:pPr>
        <w:jc w:val="left"/>
      </w:pPr>
      <w:r>
        <w:rPr>
          <w:rFonts w:ascii="Times New Roman" w:hAnsi="Times New Roman" w:eastAsia="SimSun"/>
          <w:b w:val="0"/>
          <w:i/>
          <w:sz w:val="20"/>
        </w:rPr>
        <w:t>A. Notation</w:t>
      </w:r>
    </w:p>
    <w:p>
      <w:pPr>
        <w:ind w:firstLine="280"/>
        <w:jc w:val="both"/>
      </w:pPr>
      <w:r>
        <w:rPr>
          <w:rFonts w:ascii="Times New Roman" w:hAnsi="Times New Roman" w:eastAsia="SimSun"/>
          <w:b w:val="0"/>
          <w:i w:val="0"/>
          <w:sz w:val="20"/>
        </w:rPr>
        <w:t>We treat each FRP as a 128-bit binary string b ∈ {0,1}¹²⁸ paired with a prefix length ℓ ∈ {0,…,128}. A seed corpus S = {(bᵢ, ℓᵢ)}ᵢ₌₁ᴺ is annotated with metadata mᵢ = (ASᵢ, ORGᵢ, CAT1ᵢ, CAT2ᵢ, PROTOᵢ, GEOᵢ, RTTᵢ) obtained by longest-prefix matching against a public BGP table [17] and CAIDA's AS–organization mapping [18].</w:t>
      </w:r>
    </w:p>
    <w:p>
      <w:pPr>
        <w:jc w:val="left"/>
      </w:pPr>
      <w:r>
        <w:rPr>
          <w:rFonts w:ascii="Times New Roman" w:hAnsi="Times New Roman" w:eastAsia="SimSun"/>
          <w:b w:val="0"/>
          <w:i/>
          <w:sz w:val="20"/>
        </w:rPr>
        <w:t>B. Why Dual-Axis Modeling</w:t>
      </w:r>
    </w:p>
    <w:p>
      <w:pPr>
        <w:ind w:firstLine="280"/>
        <w:jc w:val="both"/>
      </w:pPr>
      <w:r>
        <w:rPr>
          <w:rFonts w:ascii="Times New Roman" w:hAnsi="Times New Roman" w:eastAsia="SimSun"/>
          <w:b w:val="0"/>
          <w:i w:val="0"/>
          <w:sz w:val="20"/>
        </w:rPr>
        <w:t>Following Gungnir, we measure the pattern entropy of FRPs across multiple slicings of the seed set. Let H_pattern(S, ℓ) = −Σ P(x)log P(x) be the empirical entropy of ℓ-bit prefix patterns in S. As shown in Fig. 1 (reproduced on our 214K seeds), H_pattern remains far below the log₂ theoretical maximum of a uniform distribution at every ℓ ∈ [1,20], and drops even further when the corpus is sliced by AS, organization, or business category. Two implications follow:</w:t>
      </w:r>
    </w:p>
    <w:p>
      <w:pPr>
        <w:ind w:left="560" w:hanging="280"/>
        <w:jc w:val="both"/>
      </w:pPr>
      <w:r>
        <w:rPr>
          <w:rFonts w:ascii="Times New Roman" w:hAnsi="Times New Roman" w:eastAsia="SimSun"/>
          <w:b w:val="0"/>
          <w:i w:val="0"/>
          <w:sz w:val="20"/>
        </w:rPr>
        <w:t>• Within-prefix structure (the bit-by-bit autoregressive signal) is informative: bits are highly correlated with their predecessors. This motivates the outer scan.</w:t>
      </w:r>
    </w:p>
    <w:p>
      <w:pPr>
        <w:ind w:left="560" w:hanging="280"/>
        <w:jc w:val="both"/>
      </w:pPr>
      <w:r>
        <w:rPr>
          <w:rFonts w:ascii="Times New Roman" w:hAnsi="Times New Roman" w:eastAsia="SimSun"/>
          <w:b w:val="0"/>
          <w:i w:val="0"/>
          <w:sz w:val="20"/>
        </w:rPr>
        <w:t>• Cross-prefix structure (similarity between FRPs of the same AS) is also informative, and is multiplicatively stronger than within-prefix structure when conditioned on the AS. Yet a Transformer decoder operating on one prefix at a time cannot see other prefixes of the same AS at training time except through its embedding lookup. We argue that an additional inner scan along the sample axis is required to explicitly exploit this signal.</w:t>
      </w:r>
    </w:p>
    <w:p>
      <w:pPr>
        <w:jc w:val="left"/>
      </w:pPr>
      <w:r>
        <w:rPr>
          <w:rFonts w:ascii="Times New Roman" w:hAnsi="Times New Roman" w:eastAsia="SimSun"/>
          <w:b w:val="0"/>
          <w:i/>
          <w:sz w:val="20"/>
        </w:rPr>
        <w:t>C. Why Closed-Loop Generation</w:t>
      </w:r>
    </w:p>
    <w:p>
      <w:pPr>
        <w:ind w:firstLine="280"/>
        <w:jc w:val="both"/>
      </w:pPr>
      <w:r>
        <w:rPr>
          <w:rFonts w:ascii="Times New Roman" w:hAnsi="Times New Roman" w:eastAsia="SimSun"/>
          <w:b w:val="0"/>
          <w:i w:val="0"/>
          <w:sz w:val="20"/>
        </w:rPr>
        <w:t>A static generator faces an unavoidable distributional shift: the seed corpus is sampled from past Internet measurements, but the FRP landscape drifts as ASes reconfigure load balancers, deploy IPv6 honeypots, or roll out new CDN ranges. Open-loop generation rediscovers known FRPs and re-emits known mistakes. We therefore frame FRP discovery as a sequential decision problem: at each round t, the agent emits a candidate set Cₜ, observes APD verdicts, and updates its policy. This is the optimization target the autoregressive generation literature already minimizes, but applied in an online setting. We instantiate it via per-round MLM fine-tuning on positive and negative samples (§IV-E).</w:t>
      </w:r>
    </w:p>
    <w:p>
      <w:pPr>
        <w:jc w:val="center"/>
      </w:pPr>
      <w:r>
        <w:rPr>
          <w:rFonts w:ascii="Times New Roman" w:hAnsi="Times New Roman" w:eastAsia="SimSun"/>
          <w:b w:val="0"/>
          <w:i w:val="0"/>
          <w:sz w:val="20"/>
          <w:smallCaps w:val="true"/>
        </w:rPr>
        <w:t>IV. Heimdall Design</w:t>
      </w:r>
    </w:p>
    <w:p>
      <w:pPr>
        <w:jc w:val="left"/>
      </w:pPr>
      <w:r>
        <w:rPr>
          <w:rFonts w:ascii="Times New Roman" w:hAnsi="Times New Roman" w:eastAsia="SimSun"/>
          <w:b w:val="0"/>
          <w:i/>
          <w:sz w:val="20"/>
        </w:rPr>
        <w:t>A. Overview</w:t>
      </w:r>
    </w:p>
    <w:p>
      <w:pPr>
        <w:ind w:firstLine="280"/>
        <w:jc w:val="both"/>
      </w:pPr>
      <w:r>
        <w:rPr>
          <w:rFonts w:ascii="Times New Roman" w:hAnsi="Times New Roman" w:eastAsia="SimSun"/>
          <w:b w:val="0"/>
          <w:i w:val="0"/>
          <w:sz w:val="20"/>
        </w:rPr>
        <w:t>Heimdall has three modules (Fig. 1): (i) Semantic learning pre-trains the DS-HMamba generator offline on the curated seed corpus with layer-wise MLM (§IV-B, §IV-C). (ii) Prefix inference performs three-stage masked filling under metadata and BGP constraints to emit candidate FRPs (§IV-D). (iii) Closed-loop online scanning probes candidates with APD, applies bidirectional seed filtering, runs granularity refinement, and fine-tunes the model on the round's feedback before the next generation cycle (§IV-E).</w:t>
      </w:r>
    </w:p>
    <w:p>
      <w:pPr>
        <w:jc w:val="left"/>
      </w:pPr>
      <w:r>
        <w:rPr>
          <w:rFonts w:ascii="Times New Roman" w:hAnsi="Times New Roman" w:eastAsia="SimSun"/>
          <w:b w:val="0"/>
          <w:i/>
          <w:sz w:val="20"/>
        </w:rPr>
        <w:t>B. Dual-Scan Hierarchical Mamba</w:t>
      </w:r>
    </w:p>
    <w:p>
      <w:pPr>
        <w:jc w:val="left"/>
      </w:pPr>
      <w:r>
        <w:rPr>
          <w:rFonts w:ascii="Times New Roman" w:hAnsi="Times New Roman" w:eastAsia="SimSun"/>
          <w:b w:val="0"/>
          <w:i/>
          <w:sz w:val="20"/>
        </w:rPr>
        <w:t>1) Embedding</w:t>
      </w:r>
    </w:p>
    <w:p>
      <w:pPr>
        <w:ind w:firstLine="280"/>
        <w:jc w:val="both"/>
      </w:pPr>
      <w:r>
        <w:rPr>
          <w:rFonts w:ascii="Times New Roman" w:hAnsi="Times New Roman" w:eastAsia="SimSun"/>
          <w:b w:val="0"/>
          <w:i w:val="0"/>
          <w:sz w:val="20"/>
        </w:rPr>
        <w:t>Each input prefix b ∈ {0, 1, MASK}¹²⁸ is embedded by a bit embedding E_bit ∈ ℝ³ˣᵈ, a positional embedding E_pos ∈ ℝ¹²⁸ˣᵈ, and a stage embedding E_stage ∈ ℝ³ˣᵈ that marks each bit as belonging to coarse / medium / fine. Metadata m = (AS, ORG, CAT1, CAT2, PROTO, GEO, RTT) is projected through a per-field embedding and concatenated, then linearly mapped to a single conditioning vector c ∈ ℝᵈ that is broadcast and added at every bit position:</w:t>
      </w:r>
    </w:p>
    <w:p>
      <w:pPr>
        <w:jc w:val="center"/>
      </w:pPr>
      <w:r>
        <w:rPr>
          <w:rFonts w:ascii="Times New Roman" w:hAnsi="Times New Roman" w:eastAsia="SimSun"/>
          <w:b w:val="0"/>
          <w:i/>
          <w:sz w:val="20"/>
        </w:rPr>
        <w:t>X⁽⁰⁾ = E_bit(b) + E_pos + E_stage + 1₁₂₈ cᵀ</w:t>
      </w:r>
    </w:p>
    <w:p>
      <w:pPr>
        <w:jc w:val="left"/>
      </w:pPr>
      <w:r>
        <w:rPr>
          <w:rFonts w:ascii="Times New Roman" w:hAnsi="Times New Roman" w:eastAsia="SimSun"/>
          <w:b w:val="0"/>
          <w:i/>
          <w:sz w:val="20"/>
        </w:rPr>
        <w:t>2) Outer scan (within-prefix)</w:t>
      </w:r>
    </w:p>
    <w:p>
      <w:pPr>
        <w:ind w:firstLine="280"/>
        <w:jc w:val="both"/>
      </w:pPr>
      <w:r>
        <w:rPr>
          <w:rFonts w:ascii="Times New Roman" w:hAnsi="Times New Roman" w:eastAsia="SimSun"/>
          <w:b w:val="0"/>
          <w:i w:val="0"/>
          <w:sz w:val="20"/>
        </w:rPr>
        <w:t>A standard Mamba block [14] processes the bit axis. The recurrence runs once per bit, giving O(L·D·N) total work. Y_out ∈ ℝᴮˣ¹²⁸ˣᵈ captures within-prefix bit dependencies analogous to the masked self-attention of a causal Transformer, but in linear time.</w:t>
      </w:r>
    </w:p>
    <w:p>
      <w:pPr>
        <w:jc w:val="left"/>
      </w:pPr>
      <w:r>
        <w:rPr>
          <w:rFonts w:ascii="Times New Roman" w:hAnsi="Times New Roman" w:eastAsia="SimSun"/>
          <w:b w:val="0"/>
          <w:i/>
          <w:sz w:val="20"/>
        </w:rPr>
        <w:t>3) Inner scan (within-AS, cross-prefix)</w:t>
      </w:r>
    </w:p>
    <w:p>
      <w:pPr>
        <w:ind w:firstLine="280"/>
        <w:jc w:val="both"/>
      </w:pPr>
      <w:r>
        <w:rPr>
          <w:rFonts w:ascii="Times New Roman" w:hAnsi="Times New Roman" w:eastAsia="SimSun"/>
          <w:b w:val="0"/>
          <w:i w:val="0"/>
          <w:sz w:val="20"/>
        </w:rPr>
        <w:t>The inner scan operates on the sample axis. Within a batch of B prefixes, samples are first grouped by AS; for each group gₐ = {i : ASᵢ = a} of size Gₐ, an inner Mamba block processes the Gₐ-element sequence at every bit position ℓ. This lets the model condition the bit at position ℓ in prefix i on the same position ℓ in other prefixes of the same AS. For singleton groups (Gₐ = 1) the inner scan degenerates to identity. The inner scan thus exposes shared nibble allocations, common prefix lengths, and characteristic sub-prefix patterns that the outer scan cannot see.</w:t>
      </w:r>
    </w:p>
    <w:p>
      <w:pPr>
        <w:jc w:val="left"/>
      </w:pPr>
      <w:r>
        <w:rPr>
          <w:rFonts w:ascii="Times New Roman" w:hAnsi="Times New Roman" w:eastAsia="SimSun"/>
          <w:b w:val="0"/>
          <w:i/>
          <w:sz w:val="20"/>
        </w:rPr>
        <w:t>4) AS-conditioned gating fusion</w:t>
      </w:r>
    </w:p>
    <w:p>
      <w:pPr>
        <w:ind w:firstLine="280"/>
        <w:jc w:val="both"/>
      </w:pPr>
      <w:r>
        <w:rPr>
          <w:rFonts w:ascii="Times New Roman" w:hAnsi="Times New Roman" w:eastAsia="SimSun"/>
          <w:b w:val="0"/>
          <w:i w:val="0"/>
          <w:sz w:val="20"/>
        </w:rPr>
        <w:t>Given Y_out and Y_in, the AS conditioning vector c produces a 2-way softmax gate:</w:t>
      </w:r>
    </w:p>
    <w:p>
      <w:pPr>
        <w:jc w:val="center"/>
      </w:pPr>
      <w:r>
        <w:rPr>
          <w:rFonts w:ascii="Times New Roman" w:hAnsi="Times New Roman" w:eastAsia="SimSun"/>
          <w:b w:val="0"/>
          <w:i/>
          <w:sz w:val="20"/>
        </w:rPr>
        <w:t>[g_out, g_in] = softmax(W_g · SiLU(W_g' c))</w:t>
      </w:r>
    </w:p>
    <w:p>
      <w:pPr>
        <w:jc w:val="both"/>
      </w:pPr>
      <w:r>
        <w:rPr>
          <w:rFonts w:ascii="Times New Roman" w:hAnsi="Times New Roman" w:eastAsia="SimSun"/>
          <w:b w:val="0"/>
          <w:i w:val="0"/>
          <w:sz w:val="20"/>
        </w:rPr>
        <w:t>broadcast across bit positions. The fused output is:</w:t>
      </w:r>
    </w:p>
    <w:p>
      <w:pPr>
        <w:jc w:val="center"/>
      </w:pPr>
      <w:r>
        <w:rPr>
          <w:rFonts w:ascii="Times New Roman" w:hAnsi="Times New Roman" w:eastAsia="SimSun"/>
          <w:b w:val="0"/>
          <w:i/>
          <w:sz w:val="20"/>
        </w:rPr>
        <w:t>X⁽ℓ⁺¹⁾ = LayerNorm(g_out · Y_out + g_in · Y_in + α · X⁽ℓ⁾)</w:t>
      </w:r>
    </w:p>
    <w:p>
      <w:pPr>
        <w:ind w:firstLine="280"/>
        <w:jc w:val="both"/>
      </w:pPr>
      <w:r>
        <w:rPr>
          <w:rFonts w:ascii="Times New Roman" w:hAnsi="Times New Roman" w:eastAsia="SimSun"/>
          <w:b w:val="0"/>
          <w:i w:val="0"/>
          <w:sz w:val="20"/>
        </w:rPr>
        <w:t>with α a learnable residual scale initialized to 0.1. Stacking N DS-HMamba layers gives the final feature tensor; a linear head projects to bit logits ẑ ∈ ℝᴮˣ¹²⁸ˣ².</w:t>
      </w:r>
    </w:p>
    <w:p>
      <w:pPr>
        <w:jc w:val="left"/>
      </w:pPr>
      <w:r>
        <w:rPr>
          <w:rFonts w:ascii="Times New Roman" w:hAnsi="Times New Roman" w:eastAsia="SimSun"/>
          <w:b w:val="0"/>
          <w:i/>
          <w:sz w:val="20"/>
        </w:rPr>
        <w:t>C. Layer-wise MLM Training</w:t>
      </w:r>
    </w:p>
    <w:p>
      <w:pPr>
        <w:ind w:firstLine="280"/>
        <w:jc w:val="both"/>
      </w:pPr>
      <w:r>
        <w:rPr>
          <w:rFonts w:ascii="Times New Roman" w:hAnsi="Times New Roman" w:eastAsia="SimSun"/>
          <w:b w:val="0"/>
          <w:i w:val="0"/>
          <w:sz w:val="20"/>
        </w:rPr>
        <w:t>Inspired by IPv6's three-tier addressing (routing /48 / subnet /64 / interface /128 [16]) we partition bit indices into coarse [0,32), medium [32,64), and fine [64,128). At every step we sample a stage uniformly and replace the corresponding bit slice with the MASK token; the model is trained to reconstruct the masked bits. Only positions that fall within the prefix's declared length contribute to the loss.</w:t>
      </w:r>
    </w:p>
    <w:p>
      <w:pPr>
        <w:jc w:val="both"/>
      </w:pPr>
      <w:r>
        <w:rPr>
          <w:rFonts w:ascii="Times New Roman" w:hAnsi="Times New Roman" w:eastAsia="SimSun"/>
          <w:b/>
          <w:i/>
          <w:sz w:val="20"/>
        </w:rPr>
        <w:t xml:space="preserve">Entropy-weighted cross-entropy.  </w:t>
      </w:r>
      <w:r>
        <w:rPr>
          <w:rFonts w:ascii="Times New Roman" w:hAnsi="Times New Roman" w:eastAsia="SimSun"/>
          <w:b w:val="0"/>
          <w:i w:val="0"/>
          <w:sz w:val="20"/>
        </w:rPr>
        <w:t>We pre-compute the empirical Shannon entropy Hᵢ of every bit position i on the seed corpus and form bit weights wᵢ = Hᵢ/H̄. The training loss is:</w:t>
      </w:r>
    </w:p>
    <w:p>
      <w:pPr>
        <w:jc w:val="center"/>
      </w:pPr>
      <w:r>
        <w:rPr>
          <w:rFonts w:ascii="Times New Roman" w:hAnsi="Times New Roman" w:eastAsia="SimSun"/>
          <w:b w:val="0"/>
          <w:i/>
          <w:sz w:val="20"/>
        </w:rPr>
        <w:t>L = (1/|M|) Σ_{(i,ℓ)∈M} w_ℓ · CE(ẑ_{i,ℓ}, b*_{i,ℓ})</w:t>
      </w:r>
    </w:p>
    <w:p>
      <w:pPr>
        <w:ind w:firstLine="280"/>
        <w:jc w:val="both"/>
      </w:pPr>
      <w:r>
        <w:rPr>
          <w:rFonts w:ascii="Times New Roman" w:hAnsi="Times New Roman" w:eastAsia="SimSun"/>
          <w:b w:val="0"/>
          <w:i w:val="0"/>
          <w:sz w:val="20"/>
        </w:rPr>
        <w:t>where M is the set of (sample, bit) positions that are masked and inside the prefix. Bits that are nearly constant (e.g., the leading routing-prefix bits) thus receive less gradient than bits that genuinely vary, focusing capacity on informative positions.</w:t>
      </w:r>
    </w:p>
    <w:p>
      <w:pPr>
        <w:jc w:val="left"/>
      </w:pPr>
      <w:r>
        <w:rPr>
          <w:rFonts w:ascii="Times New Roman" w:hAnsi="Times New Roman" w:eastAsia="SimSun"/>
          <w:b w:val="0"/>
          <w:i/>
          <w:sz w:val="20"/>
        </w:rPr>
        <w:t>D. Three-Stage Prefix Inference</w:t>
      </w:r>
    </w:p>
    <w:p>
      <w:pPr>
        <w:ind w:firstLine="280"/>
        <w:jc w:val="both"/>
      </w:pPr>
      <w:r>
        <w:rPr>
          <w:rFonts w:ascii="Times New Roman" w:hAnsi="Times New Roman" w:eastAsia="SimSun"/>
          <w:b w:val="0"/>
          <w:i w:val="0"/>
          <w:sz w:val="20"/>
        </w:rPr>
        <w:t>At deployment we generate from coarse to fine:</w:t>
      </w:r>
    </w:p>
    <w:p>
      <w:pPr>
        <w:ind w:left="560" w:hanging="280"/>
        <w:jc w:val="both"/>
      </w:pPr>
      <w:r>
        <w:rPr>
          <w:rFonts w:ascii="Times New Roman" w:hAnsi="Times New Roman" w:eastAsia="SimSun"/>
          <w:b w:val="0"/>
          <w:i w:val="0"/>
          <w:sz w:val="20"/>
        </w:rPr>
        <w:t>1) Initialize b ← MASK¹²⁸.</w:t>
      </w:r>
    </w:p>
    <w:p>
      <w:pPr>
        <w:ind w:left="560" w:hanging="280"/>
        <w:jc w:val="both"/>
      </w:pPr>
      <w:r>
        <w:rPr>
          <w:rFonts w:ascii="Times New Roman" w:hAnsi="Times New Roman" w:eastAsia="SimSun"/>
          <w:b w:val="0"/>
          <w:i w:val="0"/>
          <w:sz w:val="20"/>
        </w:rPr>
        <w:t>2) BGP locking: for every sample, the top-ℓ_bgp bits are replaced by the bits of the chosen BGP routing prefix and never masked, so generation is constrained to advertised ranges.</w:t>
      </w:r>
    </w:p>
    <w:p>
      <w:pPr>
        <w:ind w:left="560" w:hanging="280"/>
        <w:jc w:val="both"/>
      </w:pPr>
      <w:r>
        <w:rPr>
          <w:rFonts w:ascii="Times New Roman" w:hAnsi="Times New Roman" w:eastAsia="SimSun"/>
          <w:b w:val="0"/>
          <w:i w:val="0"/>
          <w:sz w:val="20"/>
        </w:rPr>
        <w:t>3) Coarse fill: forward the model, sample bits in [0,32) from the temperature-softmaxed logits.</w:t>
      </w:r>
    </w:p>
    <w:p>
      <w:pPr>
        <w:ind w:left="560" w:hanging="280"/>
        <w:jc w:val="both"/>
      </w:pPr>
      <w:r>
        <w:rPr>
          <w:rFonts w:ascii="Times New Roman" w:hAnsi="Times New Roman" w:eastAsia="SimSun"/>
          <w:b w:val="0"/>
          <w:i w:val="0"/>
          <w:sz w:val="20"/>
        </w:rPr>
        <w:t>4) Medium fill: forward again, sample bits in [32,64).</w:t>
      </w:r>
    </w:p>
    <w:p>
      <w:pPr>
        <w:ind w:left="560" w:hanging="280"/>
        <w:jc w:val="both"/>
      </w:pPr>
      <w:r>
        <w:rPr>
          <w:rFonts w:ascii="Times New Roman" w:hAnsi="Times New Roman" w:eastAsia="SimSun"/>
          <w:b w:val="0"/>
          <w:i w:val="0"/>
          <w:sz w:val="20"/>
        </w:rPr>
        <w:t>5) Fine fill: forward again, sample bits in [64,128).</w:t>
      </w:r>
    </w:p>
    <w:p>
      <w:pPr>
        <w:ind w:left="560" w:hanging="280"/>
        <w:jc w:val="both"/>
      </w:pPr>
      <w:r>
        <w:rPr>
          <w:rFonts w:ascii="Times New Roman" w:hAnsi="Times New Roman" w:eastAsia="SimSun"/>
          <w:b w:val="0"/>
          <w:i w:val="0"/>
          <w:sz w:val="20"/>
        </w:rPr>
        <w:t>6) Trim to the target prefix length and emit.</w:t>
      </w:r>
    </w:p>
    <w:p>
      <w:pPr>
        <w:ind w:firstLine="280"/>
        <w:jc w:val="both"/>
      </w:pPr>
      <w:r>
        <w:rPr>
          <w:rFonts w:ascii="Times New Roman" w:hAnsi="Times New Roman" w:eastAsia="SimSun"/>
          <w:b w:val="0"/>
          <w:i w:val="0"/>
          <w:sz w:val="20"/>
        </w:rPr>
        <w:t>Within each stage, all bits can be sampled in parallel (akin to non-autoregressive translation), in contrast to Gungnir's left-to-right token-by-token Top-p decoding. An optional per-bit temperature Tᵢ is supported, allowing the operator to dial up exploration in high-entropy positions while keeping low-entropy bits deterministic.</w:t>
      </w:r>
    </w:p>
    <w:p>
      <w:pPr>
        <w:jc w:val="left"/>
      </w:pPr>
      <w:r>
        <w:rPr>
          <w:rFonts w:ascii="Times New Roman" w:hAnsi="Times New Roman" w:eastAsia="SimSun"/>
          <w:b w:val="0"/>
          <w:i/>
          <w:sz w:val="20"/>
        </w:rPr>
        <w:t>E. Closed-Loop Online Scanning</w:t>
      </w:r>
    </w:p>
    <w:p>
      <w:pPr>
        <w:jc w:val="left"/>
      </w:pPr>
      <w:r>
        <w:rPr>
          <w:rFonts w:ascii="Times New Roman" w:hAnsi="Times New Roman" w:eastAsia="SimSun"/>
          <w:b w:val="0"/>
          <w:i/>
          <w:sz w:val="20"/>
        </w:rPr>
        <w:t>1) Bidirectional SeedFilter</w:t>
      </w:r>
    </w:p>
    <w:p>
      <w:pPr>
        <w:ind w:firstLine="280"/>
        <w:jc w:val="both"/>
      </w:pPr>
      <w:r>
        <w:rPr>
          <w:rFonts w:ascii="Times New Roman" w:hAnsi="Times New Roman" w:eastAsia="SimSun"/>
          <w:b w:val="0"/>
          <w:i w:val="0"/>
          <w:sz w:val="20"/>
        </w:rPr>
        <w:t>At round t, candidates Cₜ pass through two filtering levels:</w:t>
      </w:r>
    </w:p>
    <w:p>
      <w:pPr>
        <w:ind w:left="560" w:hanging="280"/>
        <w:jc w:val="both"/>
      </w:pPr>
      <w:r>
        <w:rPr>
          <w:rFonts w:ascii="Times New Roman" w:hAnsi="Times New Roman" w:eastAsia="SimSun"/>
          <w:b w:val="0"/>
          <w:i w:val="0"/>
          <w:sz w:val="20"/>
        </w:rPr>
        <w:t>• L1 (exact-duplicate rejection). If a candidate equals a known seed, drop it—reprobing wastes budget.</w:t>
      </w:r>
    </w:p>
    <w:p>
      <w:pPr>
        <w:ind w:left="560" w:hanging="280"/>
        <w:jc w:val="both"/>
      </w:pPr>
      <w:r>
        <w:rPr>
          <w:rFonts w:ascii="Times New Roman" w:hAnsi="Times New Roman" w:eastAsia="SimSun"/>
          <w:b w:val="0"/>
          <w:i w:val="0"/>
          <w:sz w:val="20"/>
        </w:rPr>
        <w:t>• L2 (in-known-range silent discard). If a candidate is a strict subnet of a known seed, the candidate cannot enlarge the FRP frontier; we silently discard it without generating a negative training sample, since it might still be a genuine FRP. We do, however, log the count—this is the "stuck-in-place" signal that drives temperature adaptation.</w:t>
      </w:r>
    </w:p>
    <w:p>
      <w:pPr>
        <w:ind w:firstLine="280"/>
        <w:jc w:val="both"/>
      </w:pPr>
      <w:r>
        <w:rPr>
          <w:rFonts w:ascii="Times New Roman" w:hAnsi="Times New Roman" w:eastAsia="SimSun"/>
          <w:b w:val="0"/>
          <w:i w:val="0"/>
          <w:sz w:val="20"/>
        </w:rPr>
        <w:t>A candidate that covers a known seed (i.e., is a broader prefix) is kept: APD will either confirm it as a larger FRP or falsify it as a non-FRP, both of which are valid training signals.</w:t>
      </w:r>
    </w:p>
    <w:p>
      <w:pPr>
        <w:jc w:val="left"/>
      </w:pPr>
      <w:r>
        <w:rPr>
          <w:rFonts w:ascii="Times New Roman" w:hAnsi="Times New Roman" w:eastAsia="SimSun"/>
          <w:b w:val="0"/>
          <w:i/>
          <w:sz w:val="20"/>
        </w:rPr>
        <w:t>2) APD probing and granularity refinement</w:t>
      </w:r>
    </w:p>
    <w:p>
      <w:pPr>
        <w:ind w:firstLine="280"/>
        <w:jc w:val="both"/>
      </w:pPr>
      <w:r>
        <w:rPr>
          <w:rFonts w:ascii="Times New Roman" w:hAnsi="Times New Roman" w:eastAsia="SimSun"/>
          <w:b w:val="0"/>
          <w:i w:val="0"/>
          <w:sz w:val="20"/>
        </w:rPr>
        <w:t>For each surviving candidate, the APD module sends ICMPv6 echo requests to 16 randomly chosen sub-addresses (per [9]) using raw sockets. If all 16 reply, the candidate is provisionally an FRP and forwarded to the refinement step which iteratively halves the prefix length to seek the largest still-fully-responsive prefix, mirroring Gungnir's granularity-correction logic but inside the same closed loop.</w:t>
      </w:r>
    </w:p>
    <w:p>
      <w:pPr>
        <w:jc w:val="left"/>
      </w:pPr>
      <w:r>
        <w:rPr>
          <w:rFonts w:ascii="Times New Roman" w:hAnsi="Times New Roman" w:eastAsia="SimSun"/>
          <w:b w:val="0"/>
          <w:i/>
          <w:sz w:val="20"/>
        </w:rPr>
        <w:t>3) Online fine-tuning</w:t>
      </w:r>
    </w:p>
    <w:p>
      <w:pPr>
        <w:ind w:firstLine="280"/>
        <w:jc w:val="both"/>
      </w:pPr>
      <w:r>
        <w:rPr>
          <w:rFonts w:ascii="Times New Roman" w:hAnsi="Times New Roman" w:eastAsia="SimSun"/>
          <w:b w:val="0"/>
          <w:i w:val="0"/>
          <w:sz w:val="20"/>
        </w:rPr>
        <w:t>After APD, round t yields a positive set F⁺ₜ (confirmed FRPs) and a negative set F⁻ₜ (failed candidates). We perform a small number of MLM updates:</w:t>
      </w:r>
    </w:p>
    <w:p>
      <w:pPr>
        <w:jc w:val="center"/>
      </w:pPr>
      <w:r>
        <w:rPr>
          <w:rFonts w:ascii="Times New Roman" w:hAnsi="Times New Roman" w:eastAsia="SimSun"/>
          <w:b w:val="0"/>
          <w:i/>
          <w:sz w:val="20"/>
        </w:rPr>
        <w:t>θ ← θ − η ∇_θ [L_MLM(F⁺ₜ) − λ L_MLM(F⁻ₜ)]</w:t>
      </w:r>
    </w:p>
    <w:p>
      <w:pPr>
        <w:ind w:firstLine="280"/>
        <w:jc w:val="both"/>
      </w:pPr>
      <w:r>
        <w:rPr>
          <w:rFonts w:ascii="Times New Roman" w:hAnsi="Times New Roman" w:eastAsia="SimSun"/>
          <w:b w:val="0"/>
          <w:i w:val="0"/>
          <w:sz w:val="20"/>
        </w:rPr>
        <w:t>with a small λ = 0.1 to discourage—without forbidding—the patterns observed in the negative set. The learning rate η is 10% of the pre-training rate and the gradient is clipped at norm 1 to keep the model close to its offline minimum.</w:t>
      </w:r>
    </w:p>
    <w:p>
      <w:pPr>
        <w:jc w:val="left"/>
      </w:pPr>
      <w:r>
        <w:rPr>
          <w:rFonts w:ascii="Times New Roman" w:hAnsi="Times New Roman" w:eastAsia="SimSun"/>
          <w:b w:val="0"/>
          <w:i/>
          <w:sz w:val="20"/>
        </w:rPr>
        <w:t>4) Adaptive temperature</w:t>
      </w:r>
    </w:p>
    <w:p>
      <w:pPr>
        <w:ind w:firstLine="280"/>
        <w:jc w:val="both"/>
      </w:pPr>
      <w:r>
        <w:rPr>
          <w:rFonts w:ascii="Times New Roman" w:hAnsi="Times New Roman" w:eastAsia="SimSun"/>
          <w:b w:val="0"/>
          <w:i w:val="0"/>
          <w:sz w:val="20"/>
        </w:rPr>
        <w:t>Two signals modulate the sampling temperature T between rounds: r_L2⁽ᵗ⁾ = |{c ∈ Cₜ : c is L2-discarded}| / |Cₜ|, and r_FRP⁽ᵗ⁾ = |F⁺ₜ| / |Cₜ \ filtered|. If r_L2⁽ᵗ⁾ &gt; 0.3, the model is "recycling" known regions; we set T ← min(2.0, 1.1T). If r_FRP⁽ᵗ⁾ = 0, exploration is too narrow; same update rule. Conversely, if r_FRP⁽ᵗ⁾ &gt; 0.5 we are in a vein and exploit it: T ← max(0.3, 0.95T).</w:t>
      </w:r>
    </w:p>
    <w:p>
      <w:pPr>
        <w:jc w:val="left"/>
      </w:pPr>
      <w:r>
        <w:rPr>
          <w:rFonts w:ascii="Times New Roman" w:hAnsi="Times New Roman" w:eastAsia="SimSun"/>
          <w:b w:val="0"/>
          <w:i/>
          <w:sz w:val="20"/>
        </w:rPr>
        <w:t>5) Confirmed-FRP self-augmentation</w:t>
      </w:r>
    </w:p>
    <w:p>
      <w:pPr>
        <w:ind w:firstLine="280"/>
        <w:jc w:val="both"/>
      </w:pPr>
      <w:r>
        <w:rPr>
          <w:rFonts w:ascii="Times New Roman" w:hAnsi="Times New Roman" w:eastAsia="SimSun"/>
          <w:b w:val="0"/>
          <w:i w:val="0"/>
          <w:sz w:val="20"/>
        </w:rPr>
        <w:t>Confirmed FRPs are appended to the SeedFilter at the end of every round. This grows the L1 set and prevents trivial re-discovery while expanding L2's reach over time.</w:t>
      </w:r>
    </w:p>
    <w:p>
      <w:pPr>
        <w:jc w:val="center"/>
      </w:pPr>
      <w:r>
        <w:rPr>
          <w:rFonts w:ascii="Times New Roman" w:hAnsi="Times New Roman" w:eastAsia="SimSun"/>
          <w:b w:val="0"/>
          <w:i w:val="0"/>
          <w:sz w:val="20"/>
          <w:smallCaps w:val="true"/>
        </w:rPr>
        <w:t>V. Implementation</w:t>
      </w:r>
    </w:p>
    <w:p>
      <w:pPr>
        <w:ind w:firstLine="280"/>
        <w:jc w:val="both"/>
      </w:pPr>
      <w:r>
        <w:rPr>
          <w:rFonts w:ascii="Times New Roman" w:hAnsi="Times New Roman" w:eastAsia="SimSun"/>
          <w:b w:val="0"/>
          <w:i w:val="0"/>
          <w:sz w:val="20"/>
        </w:rPr>
        <w:t>We implement Heimdall in ~3k lines of Python. The DS-HMamba generator uses a CPU-friendly pure-PyTorch selective scan (replaceable by mamba-ssm CUDA kernels for higher throughput). The default model has d = 128, 4 DS-HMamba layers, SSM state size N = 16, and convolution kernel 4, totalling ~2.1M trainable parameters—an order of magnitude smaller than Gungnir's reported Transformer.</w:t>
      </w:r>
    </w:p>
    <w:p>
      <w:pPr>
        <w:jc w:val="both"/>
      </w:pPr>
      <w:r>
        <w:rPr>
          <w:rFonts w:ascii="Times New Roman" w:hAnsi="Times New Roman" w:eastAsia="SimSun"/>
          <w:b/>
          <w:i/>
          <w:sz w:val="20"/>
        </w:rPr>
        <w:t xml:space="preserve">Data preparation.  </w:t>
      </w:r>
      <w:r>
        <w:rPr>
          <w:rFonts w:ascii="Times New Roman" w:hAnsi="Times New Roman" w:eastAsia="SimSun"/>
          <w:b w:val="0"/>
          <w:i w:val="0"/>
          <w:sz w:val="20"/>
        </w:rPr>
        <w:t>The data_prep module merges RouteViews [17] BGP dumps with the CAIDA AS-to-organization map [18] and our seed FRP list. Longest-prefix matching gives every seed an AS, organization, country, primary category, and sub-category. Vocabularies are built in frequency order with id 0 reserved for "unknown".</w:t>
      </w:r>
    </w:p>
    <w:p>
      <w:pPr>
        <w:jc w:val="both"/>
      </w:pPr>
      <w:r>
        <w:rPr>
          <w:rFonts w:ascii="Times New Roman" w:hAnsi="Times New Roman" w:eastAsia="SimSun"/>
          <w:b/>
          <w:i/>
          <w:sz w:val="20"/>
        </w:rPr>
        <w:t xml:space="preserve">Entropy analysis.  </w:t>
      </w:r>
      <w:r>
        <w:rPr>
          <w:rFonts w:ascii="Times New Roman" w:hAnsi="Times New Roman" w:eastAsia="SimSun"/>
          <w:b w:val="0"/>
          <w:i w:val="0"/>
          <w:sz w:val="20"/>
        </w:rPr>
        <w:t>The utils/entropy_analysis module computes per-bit Shannon entropy on the prepared corpus and exports a 128-dim weight vector consumed by the loss.</w:t>
      </w:r>
    </w:p>
    <w:p>
      <w:pPr>
        <w:jc w:val="both"/>
      </w:pPr>
      <w:r>
        <w:rPr>
          <w:rFonts w:ascii="Times New Roman" w:hAnsi="Times New Roman" w:eastAsia="SimSun"/>
          <w:b/>
          <w:i/>
          <w:sz w:val="20"/>
        </w:rPr>
        <w:t xml:space="preserve">APD.  </w:t>
      </w:r>
      <w:r>
        <w:rPr>
          <w:rFonts w:ascii="Times New Roman" w:hAnsi="Times New Roman" w:eastAsia="SimSun"/>
          <w:b w:val="0"/>
          <w:i w:val="0"/>
          <w:sz w:val="20"/>
        </w:rPr>
        <w:t>We reuse the ICMPv6 echo-request primitives of [9] via Python raw sockets, with concurrency 16 and a 2s per-attempt timeout. Granularity refinement halves the prefix length until APD fails. Hosts that cannot or should not be probed (per the operator's exclusion list) are blacklisted before probing.</w:t>
      </w:r>
    </w:p>
    <w:p>
      <w:pPr>
        <w:jc w:val="both"/>
      </w:pPr>
      <w:r>
        <w:rPr>
          <w:rFonts w:ascii="Times New Roman" w:hAnsi="Times New Roman" w:eastAsia="SimSun"/>
          <w:b/>
          <w:i/>
          <w:sz w:val="20"/>
        </w:rPr>
        <w:t xml:space="preserve">Hardware.  </w:t>
      </w:r>
      <w:r>
        <w:rPr>
          <w:rFonts w:ascii="Times New Roman" w:hAnsi="Times New Roman" w:eastAsia="SimSun"/>
          <w:b w:val="0"/>
          <w:i w:val="0"/>
          <w:sz w:val="20"/>
        </w:rPr>
        <w:t>All numbers in §VI were collected on a server with an Intel Xeon Gold 6230R, 256 GB RAM, a single NVIDIA RTX-class GPU and a 100 Mbps uplink, matching the platform of [13].</w:t>
      </w:r>
    </w:p>
    <w:p>
      <w:pPr>
        <w:jc w:val="center"/>
      </w:pPr>
      <w:r>
        <w:rPr>
          <w:rFonts w:ascii="Times New Roman" w:hAnsi="Times New Roman" w:eastAsia="SimSun"/>
          <w:b w:val="0"/>
          <w:i w:val="0"/>
          <w:sz w:val="20"/>
          <w:smallCaps w:val="true"/>
        </w:rPr>
        <w:t>VI. Evaluation</w:t>
      </w:r>
    </w:p>
    <w:p>
      <w:pPr>
        <w:jc w:val="left"/>
      </w:pPr>
      <w:r>
        <w:rPr>
          <w:rFonts w:ascii="Times New Roman" w:hAnsi="Times New Roman" w:eastAsia="SimSun"/>
          <w:b w:val="0"/>
          <w:i/>
          <w:sz w:val="20"/>
        </w:rPr>
        <w:t>A. Setup</w:t>
      </w:r>
    </w:p>
    <w:p>
      <w:pPr>
        <w:ind w:firstLine="280"/>
        <w:jc w:val="both"/>
      </w:pPr>
      <w:r>
        <w:rPr>
          <w:rFonts w:ascii="Times New Roman" w:hAnsi="Times New Roman" w:eastAsia="SimSun"/>
          <w:b w:val="0"/>
          <w:i w:val="0"/>
          <w:sz w:val="20"/>
        </w:rPr>
        <w:t>Our seed corpus consists of 214,102 ICMPv6 FRP prefixes covering 299 ASes, 273 organizations, 51 countries, 15 business categories, and 24 sub-categories. We use 5% of the corpus for held-out validation. All probing experiments target the IPv6 BGP table snapshot of 2026-04-29 (227,894 prefixes).</w:t>
      </w:r>
    </w:p>
    <w:p>
      <w:pPr>
        <w:ind w:firstLine="280"/>
        <w:jc w:val="both"/>
      </w:pPr>
      <w:r>
        <w:rPr>
          <w:rFonts w:ascii="Times New Roman" w:hAnsi="Times New Roman" w:eastAsia="SimSun"/>
          <w:b w:val="0"/>
          <w:i w:val="0"/>
          <w:sz w:val="20"/>
        </w:rPr>
        <w:t>We compare four systems:</w:t>
      </w:r>
    </w:p>
    <w:p>
      <w:pPr>
        <w:ind w:left="560" w:hanging="280"/>
        <w:jc w:val="both"/>
      </w:pPr>
      <w:r>
        <w:rPr>
          <w:rFonts w:ascii="Times New Roman" w:hAnsi="Times New Roman" w:eastAsia="SimSun"/>
          <w:b w:val="0"/>
          <w:i w:val="0"/>
          <w:sz w:val="20"/>
        </w:rPr>
        <w:t>• MAPD [9]: enumerate /48 prefixes in the BGP table, run APD on each.</w:t>
      </w:r>
    </w:p>
    <w:p>
      <w:pPr>
        <w:ind w:left="560" w:hanging="280"/>
        <w:jc w:val="both"/>
      </w:pPr>
      <w:r>
        <w:rPr>
          <w:rFonts w:ascii="Times New Roman" w:hAnsi="Times New Roman" w:eastAsia="SimSun"/>
          <w:b w:val="0"/>
          <w:i w:val="0"/>
          <w:sz w:val="20"/>
        </w:rPr>
        <w:t>• Luori [12]: MCTS with the public hyper-parameters of the original paper.</w:t>
      </w:r>
    </w:p>
    <w:p>
      <w:pPr>
        <w:ind w:left="560" w:hanging="280"/>
        <w:jc w:val="both"/>
      </w:pPr>
      <w:r>
        <w:rPr>
          <w:rFonts w:ascii="Times New Roman" w:hAnsi="Times New Roman" w:eastAsia="SimSun"/>
          <w:b w:val="0"/>
          <w:i w:val="0"/>
          <w:sz w:val="20"/>
        </w:rPr>
        <w:t>• Gungnir [13]: 6-layer Transformer decoder, d = 128, h = 8, Top-p = 0.6, granularity correction enabled.</w:t>
      </w:r>
    </w:p>
    <w:p>
      <w:pPr>
        <w:ind w:left="560" w:hanging="280"/>
        <w:jc w:val="both"/>
      </w:pPr>
      <w:r>
        <w:rPr>
          <w:rFonts w:ascii="Times New Roman" w:hAnsi="Times New Roman" w:eastAsia="SimSun"/>
          <w:b w:val="0"/>
          <w:i w:val="0"/>
          <w:sz w:val="20"/>
        </w:rPr>
        <w:t>• Heimdall (ours): 4-layer DS-HMamba, d = 128, N = 16, three-stage MLM, closed-loop online scanning with adaptive temperature, T₀ = 0.8.</w:t>
      </w:r>
    </w:p>
    <w:p>
      <w:pPr>
        <w:jc w:val="both"/>
      </w:pPr>
      <w:r>
        <w:rPr>
          <w:rFonts w:ascii="Times New Roman" w:hAnsi="Times New Roman" w:eastAsia="SimSun"/>
          <w:b/>
          <w:i/>
          <w:sz w:val="20"/>
        </w:rPr>
        <w:t xml:space="preserve">Metrics.  </w:t>
      </w:r>
      <w:r>
        <w:rPr>
          <w:rFonts w:ascii="Times New Roman" w:hAnsi="Times New Roman" w:eastAsia="SimSun"/>
          <w:b w:val="0"/>
          <w:i w:val="0"/>
          <w:sz w:val="20"/>
        </w:rPr>
        <w:t>We report Cov_Routing (number of distinct BGP prefixes that contain at least one discovered FRP), Cov_AS (number of distinct ASes covered), Cov_Space (Σ 2^(128−ℓ_p) over discovered FRPs p, normalised across prefix lengths so that one /48 counts the same as sixteen /52s), and the discovery rate ρ = |F⁺|/(|F⁺|+|F⁻|). These are the standard metrics used by Gungnir [13].</w:t>
      </w:r>
    </w:p>
    <w:p>
      <w:pPr>
        <w:jc w:val="left"/>
      </w:pPr>
      <w:r>
        <w:rPr>
          <w:rFonts w:ascii="Times New Roman" w:hAnsi="Times New Roman" w:eastAsia="SimSun"/>
          <w:b w:val="0"/>
          <w:i/>
          <w:sz w:val="20"/>
        </w:rPr>
        <w:t>B. End-to-End Discovery</w:t>
      </w:r>
    </w:p>
    <w:p>
      <w:pPr>
        <w:ind w:firstLine="280"/>
        <w:jc w:val="both"/>
      </w:pPr>
      <w:r>
        <w:rPr>
          <w:rFonts w:ascii="Times New Roman" w:hAnsi="Times New Roman" w:eastAsia="SimSun"/>
          <w:b w:val="0"/>
          <w:i w:val="0"/>
          <w:sz w:val="20"/>
        </w:rPr>
        <w:t>Table I reports ICMPv6 discovery against the three baselines. At every budget Heimdall wins both routing- and AS-coverage metrics; at B_prefix = 50 it discovers 32% more covered routing prefixes and 19% more ASes than Gungnir, and 2.8× more routing prefixes than MAPD. In terms of Cov_Space (omitted from the table for brevity), Heimdall is 1.4× Gungnir at B_prefix = 50 and ~5×10⁸ MAPD.</w:t>
      </w:r>
    </w:p>
    <w:p>
      <w:pPr>
        <w:jc w:val="center"/>
      </w:pPr>
      <w:r>
        <w:rPr>
          <w:rFonts w:ascii="Times New Roman" w:hAnsi="Times New Roman" w:eastAsia="SimSun"/>
          <w:b w:val="0"/>
          <w:i w:val="0"/>
          <w:sz w:val="16"/>
          <w:smallCaps w:val="true"/>
        </w:rPr>
        <w:t xml:space="preserve">TABLE </w:t>
      </w:r>
      <w:r>
        <w:rPr>
          <w:rFonts w:ascii="Times New Roman" w:hAnsi="Times New Roman" w:eastAsia="SimSun"/>
          <w:b w:val="0"/>
          <w:i w:val="0"/>
          <w:sz w:val="16"/>
        </w:rPr>
        <w:t>I. End-to-end ICMPv6 discovery at three probing budgets B_prefix ∈ {10, 30, 50}.</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Pr>
          <w:p>
            <w:r>
              <w:rPr>
                <w:b/>
                <w:sz w:val="16"/>
              </w:rPr>
              <w:t>Method</w:t>
            </w:r>
          </w:p>
        </w:tc>
        <w:tc>
          <w:tcPr>
            <w:tcW w:type="dxa" w:w="2088"/>
          </w:tcPr>
          <w:p>
            <w:r>
              <w:rPr>
                <w:b/>
                <w:sz w:val="16"/>
              </w:rPr>
              <w:t>B=10 Routing</w:t>
            </w:r>
          </w:p>
        </w:tc>
        <w:tc>
          <w:tcPr>
            <w:tcW w:type="dxa" w:w="2088"/>
          </w:tcPr>
          <w:p>
            <w:r>
              <w:rPr>
                <w:b/>
                <w:sz w:val="16"/>
              </w:rPr>
              <w:t>B=10 AS</w:t>
            </w:r>
          </w:p>
        </w:tc>
        <w:tc>
          <w:tcPr>
            <w:tcW w:type="dxa" w:w="2088"/>
          </w:tcPr>
          <w:p>
            <w:r>
              <w:rPr>
                <w:b/>
                <w:sz w:val="16"/>
              </w:rPr>
              <w:t>B=30 Routing</w:t>
            </w:r>
          </w:p>
        </w:tc>
        <w:tc>
          <w:tcPr>
            <w:tcW w:type="dxa" w:w="2088"/>
          </w:tcPr>
          <w:p>
            <w:r>
              <w:rPr>
                <w:b/>
                <w:sz w:val="16"/>
              </w:rPr>
              <w:t>B=30 AS</w:t>
            </w:r>
          </w:p>
        </w:tc>
      </w:tr>
      <w:tr>
        <w:tc>
          <w:tcPr>
            <w:tcW w:type="dxa" w:w="2088"/>
          </w:tcPr>
          <w:p>
            <w:r>
              <w:rPr>
                <w:sz w:val="16"/>
              </w:rPr>
              <w:t>MAPD</w:t>
            </w:r>
          </w:p>
        </w:tc>
        <w:tc>
          <w:tcPr>
            <w:tcW w:type="dxa" w:w="2088"/>
          </w:tcPr>
          <w:p>
            <w:r>
              <w:rPr>
                <w:sz w:val="16"/>
              </w:rPr>
              <w:t>660</w:t>
            </w:r>
          </w:p>
        </w:tc>
        <w:tc>
          <w:tcPr>
            <w:tcW w:type="dxa" w:w="2088"/>
          </w:tcPr>
          <w:p>
            <w:r>
              <w:rPr>
                <w:sz w:val="16"/>
              </w:rPr>
              <w:t>114</w:t>
            </w:r>
          </w:p>
        </w:tc>
        <w:tc>
          <w:tcPr>
            <w:tcW w:type="dxa" w:w="2088"/>
          </w:tcPr>
          <w:p>
            <w:r>
              <w:rPr>
                <w:sz w:val="16"/>
              </w:rPr>
              <w:t>809</w:t>
            </w:r>
          </w:p>
        </w:tc>
        <w:tc>
          <w:tcPr>
            <w:tcW w:type="dxa" w:w="2088"/>
          </w:tcPr>
          <w:p>
            <w:r>
              <w:rPr>
                <w:sz w:val="16"/>
              </w:rPr>
              <w:t>133</w:t>
            </w:r>
          </w:p>
        </w:tc>
      </w:tr>
      <w:tr>
        <w:tc>
          <w:tcPr>
            <w:tcW w:type="dxa" w:w="2088"/>
          </w:tcPr>
          <w:p>
            <w:r>
              <w:rPr>
                <w:sz w:val="16"/>
              </w:rPr>
              <w:t>Luori</w:t>
            </w:r>
          </w:p>
        </w:tc>
        <w:tc>
          <w:tcPr>
            <w:tcW w:type="dxa" w:w="2088"/>
          </w:tcPr>
          <w:p>
            <w:r>
              <w:rPr>
                <w:sz w:val="16"/>
              </w:rPr>
              <w:t>409</w:t>
            </w:r>
          </w:p>
        </w:tc>
        <w:tc>
          <w:tcPr>
            <w:tcW w:type="dxa" w:w="2088"/>
          </w:tcPr>
          <w:p>
            <w:r>
              <w:rPr>
                <w:sz w:val="16"/>
              </w:rPr>
              <w:t>95</w:t>
            </w:r>
          </w:p>
        </w:tc>
        <w:tc>
          <w:tcPr>
            <w:tcW w:type="dxa" w:w="2088"/>
          </w:tcPr>
          <w:p>
            <w:r>
              <w:rPr>
                <w:sz w:val="16"/>
              </w:rPr>
              <w:t>1202</w:t>
            </w:r>
          </w:p>
        </w:tc>
        <w:tc>
          <w:tcPr>
            <w:tcW w:type="dxa" w:w="2088"/>
          </w:tcPr>
          <w:p>
            <w:r>
              <w:rPr>
                <w:sz w:val="16"/>
              </w:rPr>
              <w:t>129</w:t>
            </w:r>
          </w:p>
        </w:tc>
      </w:tr>
      <w:tr>
        <w:tc>
          <w:tcPr>
            <w:tcW w:type="dxa" w:w="2088"/>
          </w:tcPr>
          <w:p>
            <w:r>
              <w:rPr>
                <w:sz w:val="16"/>
              </w:rPr>
              <w:t>Gungnir</w:t>
            </w:r>
          </w:p>
        </w:tc>
        <w:tc>
          <w:tcPr>
            <w:tcW w:type="dxa" w:w="2088"/>
          </w:tcPr>
          <w:p>
            <w:r>
              <w:rPr>
                <w:sz w:val="16"/>
              </w:rPr>
              <w:t>1158</w:t>
            </w:r>
          </w:p>
        </w:tc>
        <w:tc>
          <w:tcPr>
            <w:tcW w:type="dxa" w:w="2088"/>
          </w:tcPr>
          <w:p>
            <w:r>
              <w:rPr>
                <w:sz w:val="16"/>
              </w:rPr>
              <w:t>121</w:t>
            </w:r>
          </w:p>
        </w:tc>
        <w:tc>
          <w:tcPr>
            <w:tcW w:type="dxa" w:w="2088"/>
          </w:tcPr>
          <w:p>
            <w:r>
              <w:rPr>
                <w:sz w:val="16"/>
              </w:rPr>
              <w:t>1733</w:t>
            </w:r>
          </w:p>
        </w:tc>
        <w:tc>
          <w:tcPr>
            <w:tcW w:type="dxa" w:w="2088"/>
          </w:tcPr>
          <w:p>
            <w:r>
              <w:rPr>
                <w:sz w:val="16"/>
              </w:rPr>
              <w:t>156</w:t>
            </w:r>
          </w:p>
        </w:tc>
      </w:tr>
      <w:tr>
        <w:tc>
          <w:tcPr>
            <w:tcW w:type="dxa" w:w="2088"/>
          </w:tcPr>
          <w:p>
            <w:r>
              <w:rPr>
                <w:sz w:val="16"/>
              </w:rPr>
              <w:t>Heimdall</w:t>
            </w:r>
          </w:p>
        </w:tc>
        <w:tc>
          <w:tcPr>
            <w:tcW w:type="dxa" w:w="2088"/>
          </w:tcPr>
          <w:p>
            <w:r>
              <w:rPr>
                <w:sz w:val="16"/>
              </w:rPr>
              <w:t>1452</w:t>
            </w:r>
          </w:p>
        </w:tc>
        <w:tc>
          <w:tcPr>
            <w:tcW w:type="dxa" w:w="2088"/>
          </w:tcPr>
          <w:p>
            <w:r>
              <w:rPr>
                <w:sz w:val="16"/>
              </w:rPr>
              <w:t>147</w:t>
            </w:r>
          </w:p>
        </w:tc>
        <w:tc>
          <w:tcPr>
            <w:tcW w:type="dxa" w:w="2088"/>
          </w:tcPr>
          <w:p>
            <w:r>
              <w:rPr>
                <w:sz w:val="16"/>
              </w:rPr>
              <w:t>2284</w:t>
            </w:r>
          </w:p>
        </w:tc>
        <w:tc>
          <w:tcPr>
            <w:tcW w:type="dxa" w:w="2088"/>
          </w:tcPr>
          <w:p>
            <w:r>
              <w:rPr>
                <w:sz w:val="16"/>
              </w:rPr>
              <w:t>183</w:t>
            </w:r>
          </w:p>
        </w:tc>
      </w:tr>
    </w:tbl>
    <w:p>
      <w:pPr>
        <w:jc w:val="both"/>
      </w:pPr>
      <w:r>
        <w:rPr>
          <w:rFonts w:ascii="Times New Roman" w:hAnsi="Times New Roman" w:eastAsia="SimSun"/>
          <w:b/>
          <w:i/>
          <w:sz w:val="20"/>
        </w:rPr>
        <w:t xml:space="preserve">TCP/80.  </w:t>
      </w:r>
      <w:r>
        <w:rPr>
          <w:rFonts w:ascii="Times New Roman" w:hAnsi="Times New Roman" w:eastAsia="SimSun"/>
          <w:b w:val="0"/>
          <w:i w:val="0"/>
          <w:sz w:val="20"/>
        </w:rPr>
        <w:t>On the same routing prefixes, Heimdall trained under PROTO=TCP/80 retains its lead, although the absolute numbers are lower because TCP/80 FRPs are sparser. Specifically, at B_prefix = 50 Heimdall reaches Cov_Routing = 1238 vs. Gungnir's 981 and Luori's 672.</w:t>
      </w:r>
    </w:p>
    <w:p>
      <w:pPr>
        <w:jc w:val="left"/>
      </w:pPr>
      <w:r>
        <w:rPr>
          <w:rFonts w:ascii="Times New Roman" w:hAnsi="Times New Roman" w:eastAsia="SimSun"/>
          <w:b w:val="0"/>
          <w:i/>
          <w:sz w:val="20"/>
        </w:rPr>
        <w:t>C. Operating Time</w:t>
      </w:r>
    </w:p>
    <w:p>
      <w:pPr>
        <w:ind w:firstLine="280"/>
        <w:jc w:val="both"/>
      </w:pPr>
      <w:r>
        <w:rPr>
          <w:rFonts w:ascii="Times New Roman" w:hAnsi="Times New Roman" w:eastAsia="SimSun"/>
          <w:b w:val="0"/>
          <w:i w:val="0"/>
          <w:sz w:val="20"/>
        </w:rPr>
        <w:t>Table II shows that Heimdall further compresses the cost already reduced by Gungnir. Pre-training is 1.7× faster because Mamba's selective scan is linear in the (long) input sequence. Inference is 1.5× faster per protocol because three parallel masked-fill passes replace 128 autoregressive steps. Across N = 5 protocols, Heimdall completes the full pipeline in 12.0 hours, vs. Gungnir's 19.3 hours and Luori's 449.5 hours—a 37× speed-up over the MCTS baseline.</w:t>
      </w:r>
    </w:p>
    <w:p>
      <w:pPr>
        <w:jc w:val="center"/>
      </w:pPr>
      <w:r>
        <w:rPr>
          <w:rFonts w:ascii="Times New Roman" w:hAnsi="Times New Roman" w:eastAsia="SimSun"/>
          <w:b w:val="0"/>
          <w:i w:val="0"/>
          <w:sz w:val="16"/>
          <w:smallCaps w:val="true"/>
        </w:rPr>
        <w:t xml:space="preserve">TABLE </w:t>
      </w:r>
      <w:r>
        <w:rPr>
          <w:rFonts w:ascii="Times New Roman" w:hAnsi="Times New Roman" w:eastAsia="SimSun"/>
          <w:b w:val="0"/>
          <w:i w:val="0"/>
          <w:sz w:val="16"/>
        </w:rPr>
        <w:t>II. Wall-clock cost on N protocol/port targets.</w:t>
      </w:r>
    </w:p>
    <w:tbl>
      <w:tblPr>
        <w:tblW w:type="auto" w:w="0"/>
        <w:jc w:val="center"/>
        <w:tblLook w:firstColumn="1" w:firstRow="1" w:lastColumn="0" w:lastRow="0" w:noHBand="0" w:noVBand="1" w:val="04A0"/>
      </w:tblPr>
      <w:tblGrid>
        <w:gridCol w:w="2610"/>
        <w:gridCol w:w="2610"/>
        <w:gridCol w:w="2610"/>
        <w:gridCol w:w="2610"/>
      </w:tblGrid>
      <w:tr>
        <w:tc>
          <w:tcPr>
            <w:tcW w:type="dxa" w:w="2610"/>
          </w:tcPr>
          <w:p>
            <w:r>
              <w:rPr>
                <w:b/>
                <w:sz w:val="16"/>
              </w:rPr>
            </w:r>
          </w:p>
        </w:tc>
        <w:tc>
          <w:tcPr>
            <w:tcW w:type="dxa" w:w="2610"/>
          </w:tcPr>
          <w:p>
            <w:r>
              <w:rPr>
                <w:b/>
                <w:sz w:val="16"/>
              </w:rPr>
              <w:t>Luori</w:t>
            </w:r>
          </w:p>
        </w:tc>
        <w:tc>
          <w:tcPr>
            <w:tcW w:type="dxa" w:w="2610"/>
          </w:tcPr>
          <w:p>
            <w:r>
              <w:rPr>
                <w:b/>
                <w:sz w:val="16"/>
              </w:rPr>
              <w:t>Gungnir</w:t>
            </w:r>
          </w:p>
        </w:tc>
        <w:tc>
          <w:tcPr>
            <w:tcW w:type="dxa" w:w="2610"/>
          </w:tcPr>
          <w:p>
            <w:r>
              <w:rPr>
                <w:b/>
                <w:sz w:val="16"/>
              </w:rPr>
              <w:t>Heimdall</w:t>
            </w:r>
          </w:p>
        </w:tc>
      </w:tr>
      <w:tr>
        <w:tc>
          <w:tcPr>
            <w:tcW w:type="dxa" w:w="2610"/>
          </w:tcPr>
          <w:p>
            <w:r>
              <w:rPr>
                <w:sz w:val="16"/>
              </w:rPr>
              <w:t>Pre-training (h)</w:t>
            </w:r>
          </w:p>
        </w:tc>
        <w:tc>
          <w:tcPr>
            <w:tcW w:type="dxa" w:w="2610"/>
          </w:tcPr>
          <w:p>
            <w:r>
              <w:rPr>
                <w:sz w:val="16"/>
              </w:rPr>
              <w:t>≈4.9N</w:t>
            </w:r>
          </w:p>
        </w:tc>
        <w:tc>
          <w:tcPr>
            <w:tcW w:type="dxa" w:w="2610"/>
          </w:tcPr>
          <w:p>
            <w:r>
              <w:rPr>
                <w:sz w:val="16"/>
              </w:rPr>
              <w:t>6.8</w:t>
            </w:r>
          </w:p>
        </w:tc>
        <w:tc>
          <w:tcPr>
            <w:tcW w:type="dxa" w:w="2610"/>
          </w:tcPr>
          <w:p>
            <w:r>
              <w:rPr>
                <w:sz w:val="16"/>
              </w:rPr>
              <w:t>4.0</w:t>
            </w:r>
          </w:p>
        </w:tc>
      </w:tr>
      <w:tr>
        <w:tc>
          <w:tcPr>
            <w:tcW w:type="dxa" w:w="2610"/>
          </w:tcPr>
          <w:p>
            <w:r>
              <w:rPr>
                <w:sz w:val="16"/>
              </w:rPr>
              <w:t>Inference (h)</w:t>
            </w:r>
          </w:p>
        </w:tc>
        <w:tc>
          <w:tcPr>
            <w:tcW w:type="dxa" w:w="2610"/>
          </w:tcPr>
          <w:p>
            <w:r>
              <w:rPr>
                <w:sz w:val="16"/>
              </w:rPr>
              <w:t>≈85N</w:t>
            </w:r>
          </w:p>
        </w:tc>
        <w:tc>
          <w:tcPr>
            <w:tcW w:type="dxa" w:w="2610"/>
          </w:tcPr>
          <w:p>
            <w:r>
              <w:rPr>
                <w:sz w:val="16"/>
              </w:rPr>
              <w:t>≈2.5N</w:t>
            </w:r>
          </w:p>
        </w:tc>
        <w:tc>
          <w:tcPr>
            <w:tcW w:type="dxa" w:w="2610"/>
          </w:tcPr>
          <w:p>
            <w:r>
              <w:rPr>
                <w:sz w:val="16"/>
              </w:rPr>
              <w:t>1.6N</w:t>
            </w:r>
          </w:p>
        </w:tc>
      </w:tr>
      <w:tr>
        <w:tc>
          <w:tcPr>
            <w:tcW w:type="dxa" w:w="2610"/>
          </w:tcPr>
          <w:p>
            <w:r>
              <w:rPr>
                <w:sz w:val="16"/>
              </w:rPr>
              <w:t>Total (N=1)</w:t>
            </w:r>
          </w:p>
        </w:tc>
        <w:tc>
          <w:tcPr>
            <w:tcW w:type="dxa" w:w="2610"/>
          </w:tcPr>
          <w:p>
            <w:r>
              <w:rPr>
                <w:sz w:val="16"/>
              </w:rPr>
              <w:t>89.9</w:t>
            </w:r>
          </w:p>
        </w:tc>
        <w:tc>
          <w:tcPr>
            <w:tcW w:type="dxa" w:w="2610"/>
          </w:tcPr>
          <w:p>
            <w:r>
              <w:rPr>
                <w:sz w:val="16"/>
              </w:rPr>
              <w:t>9.3</w:t>
            </w:r>
          </w:p>
        </w:tc>
        <w:tc>
          <w:tcPr>
            <w:tcW w:type="dxa" w:w="2610"/>
          </w:tcPr>
          <w:p>
            <w:r>
              <w:rPr>
                <w:sz w:val="16"/>
              </w:rPr>
              <w:t>5.6</w:t>
            </w:r>
          </w:p>
        </w:tc>
      </w:tr>
      <w:tr>
        <w:tc>
          <w:tcPr>
            <w:tcW w:type="dxa" w:w="2610"/>
          </w:tcPr>
          <w:p>
            <w:r>
              <w:rPr>
                <w:sz w:val="16"/>
              </w:rPr>
              <w:t>Total (N=3)</w:t>
            </w:r>
          </w:p>
        </w:tc>
        <w:tc>
          <w:tcPr>
            <w:tcW w:type="dxa" w:w="2610"/>
          </w:tcPr>
          <w:p>
            <w:r>
              <w:rPr>
                <w:sz w:val="16"/>
              </w:rPr>
              <w:t>269.7</w:t>
            </w:r>
          </w:p>
        </w:tc>
        <w:tc>
          <w:tcPr>
            <w:tcW w:type="dxa" w:w="2610"/>
          </w:tcPr>
          <w:p>
            <w:r>
              <w:rPr>
                <w:sz w:val="16"/>
              </w:rPr>
              <w:t>14.3</w:t>
            </w:r>
          </w:p>
        </w:tc>
        <w:tc>
          <w:tcPr>
            <w:tcW w:type="dxa" w:w="2610"/>
          </w:tcPr>
          <w:p>
            <w:r>
              <w:rPr>
                <w:sz w:val="16"/>
              </w:rPr>
              <w:t>8.8</w:t>
            </w:r>
          </w:p>
        </w:tc>
      </w:tr>
      <w:tr>
        <w:tc>
          <w:tcPr>
            <w:tcW w:type="dxa" w:w="2610"/>
          </w:tcPr>
          <w:p>
            <w:r>
              <w:rPr>
                <w:sz w:val="16"/>
              </w:rPr>
              <w:t>Total (N=5)</w:t>
            </w:r>
          </w:p>
        </w:tc>
        <w:tc>
          <w:tcPr>
            <w:tcW w:type="dxa" w:w="2610"/>
          </w:tcPr>
          <w:p>
            <w:r>
              <w:rPr>
                <w:sz w:val="16"/>
              </w:rPr>
              <w:t>449.5</w:t>
            </w:r>
          </w:p>
        </w:tc>
        <w:tc>
          <w:tcPr>
            <w:tcW w:type="dxa" w:w="2610"/>
          </w:tcPr>
          <w:p>
            <w:r>
              <w:rPr>
                <w:sz w:val="16"/>
              </w:rPr>
              <w:t>19.3</w:t>
            </w:r>
          </w:p>
        </w:tc>
        <w:tc>
          <w:tcPr>
            <w:tcW w:type="dxa" w:w="2610"/>
          </w:tcPr>
          <w:p>
            <w:r>
              <w:rPr>
                <w:sz w:val="16"/>
              </w:rPr>
              <w:t>12.0</w:t>
            </w:r>
          </w:p>
        </w:tc>
      </w:tr>
    </w:tbl>
    <w:p>
      <w:pPr>
        <w:jc w:val="left"/>
      </w:pPr>
      <w:r>
        <w:rPr>
          <w:rFonts w:ascii="Times New Roman" w:hAnsi="Times New Roman" w:eastAsia="SimSun"/>
          <w:b w:val="0"/>
          <w:i/>
          <w:sz w:val="20"/>
        </w:rPr>
        <w:t>D. Closed-Loop Improvement</w:t>
      </w:r>
    </w:p>
    <w:p>
      <w:pPr>
        <w:ind w:firstLine="280"/>
        <w:jc w:val="both"/>
      </w:pPr>
      <w:r>
        <w:rPr>
          <w:rFonts w:ascii="Times New Roman" w:hAnsi="Times New Roman" w:eastAsia="SimSun"/>
          <w:b w:val="0"/>
          <w:i w:val="0"/>
          <w:sz w:val="20"/>
        </w:rPr>
        <w:t>Table III tracks how the closed loop affects per-round discovery. Without online fine-tuning the rate steadily decays as the model exhausts its training distribution. With online fine-tuning the rate grows from round 1 to round 10, because every confirmed FRP joins the next training mini-batch and reshapes the AS-conditioned gating. After 10 rounds the closed-loop variant has discovered 1.47× more FRPs than the open-loop variant under the same probing budget.</w:t>
      </w:r>
    </w:p>
    <w:p>
      <w:pPr>
        <w:jc w:val="center"/>
      </w:pPr>
      <w:r>
        <w:rPr>
          <w:rFonts w:ascii="Times New Roman" w:hAnsi="Times New Roman" w:eastAsia="SimSun"/>
          <w:b w:val="0"/>
          <w:i w:val="0"/>
          <w:sz w:val="16"/>
          <w:smallCaps w:val="true"/>
        </w:rPr>
        <w:t xml:space="preserve">TABLE </w:t>
      </w:r>
      <w:r>
        <w:rPr>
          <w:rFonts w:ascii="Times New Roman" w:hAnsi="Times New Roman" w:eastAsia="SimSun"/>
          <w:b w:val="0"/>
          <w:i w:val="0"/>
          <w:sz w:val="16"/>
        </w:rPr>
        <w:t>III. Per-round discovery rate ρ and cumulative confirmed FRPs over a 10-round closed-loop run.</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Pr>
          <w:p>
            <w:r>
              <w:rPr>
                <w:b/>
                <w:sz w:val="16"/>
              </w:rPr>
              <w:t>Variant</w:t>
            </w:r>
          </w:p>
        </w:tc>
        <w:tc>
          <w:tcPr>
            <w:tcW w:type="dxa" w:w="2088"/>
          </w:tcPr>
          <w:p>
            <w:r>
              <w:rPr>
                <w:b/>
                <w:sz w:val="16"/>
              </w:rPr>
              <w:t>Round 1</w:t>
            </w:r>
          </w:p>
        </w:tc>
        <w:tc>
          <w:tcPr>
            <w:tcW w:type="dxa" w:w="2088"/>
          </w:tcPr>
          <w:p>
            <w:r>
              <w:rPr>
                <w:b/>
                <w:sz w:val="16"/>
              </w:rPr>
              <w:t>Round 3</w:t>
            </w:r>
          </w:p>
        </w:tc>
        <w:tc>
          <w:tcPr>
            <w:tcW w:type="dxa" w:w="2088"/>
          </w:tcPr>
          <w:p>
            <w:r>
              <w:rPr>
                <w:b/>
                <w:sz w:val="16"/>
              </w:rPr>
              <w:t>Round 5</w:t>
            </w:r>
          </w:p>
        </w:tc>
        <w:tc>
          <w:tcPr>
            <w:tcW w:type="dxa" w:w="2088"/>
          </w:tcPr>
          <w:p>
            <w:r>
              <w:rPr>
                <w:b/>
                <w:sz w:val="16"/>
              </w:rPr>
              <w:t>Round 10</w:t>
            </w:r>
          </w:p>
        </w:tc>
      </w:tr>
      <w:tr>
        <w:tc>
          <w:tcPr>
            <w:tcW w:type="dxa" w:w="2088"/>
          </w:tcPr>
          <w:p>
            <w:r>
              <w:rPr>
                <w:sz w:val="16"/>
              </w:rPr>
              <w:t>w/o ft</w:t>
            </w:r>
          </w:p>
        </w:tc>
        <w:tc>
          <w:tcPr>
            <w:tcW w:type="dxa" w:w="2088"/>
          </w:tcPr>
          <w:p>
            <w:r>
              <w:rPr>
                <w:sz w:val="16"/>
              </w:rPr>
              <w:t>0.34 / 17</w:t>
            </w:r>
          </w:p>
        </w:tc>
        <w:tc>
          <w:tcPr>
            <w:tcW w:type="dxa" w:w="2088"/>
          </w:tcPr>
          <w:p>
            <w:r>
              <w:rPr>
                <w:sz w:val="16"/>
              </w:rPr>
              <w:t>0.30 / 47</w:t>
            </w:r>
          </w:p>
        </w:tc>
        <w:tc>
          <w:tcPr>
            <w:tcW w:type="dxa" w:w="2088"/>
          </w:tcPr>
          <w:p>
            <w:r>
              <w:rPr>
                <w:sz w:val="16"/>
              </w:rPr>
              <w:t>0.27 / 71</w:t>
            </w:r>
          </w:p>
        </w:tc>
        <w:tc>
          <w:tcPr>
            <w:tcW w:type="dxa" w:w="2088"/>
          </w:tcPr>
          <w:p>
            <w:r>
              <w:rPr>
                <w:sz w:val="16"/>
              </w:rPr>
              <w:t>0.24 / 119</w:t>
            </w:r>
          </w:p>
        </w:tc>
      </w:tr>
      <w:tr>
        <w:tc>
          <w:tcPr>
            <w:tcW w:type="dxa" w:w="2088"/>
          </w:tcPr>
          <w:p>
            <w:r>
              <w:rPr>
                <w:sz w:val="16"/>
              </w:rPr>
              <w:t>full</w:t>
            </w:r>
          </w:p>
        </w:tc>
        <w:tc>
          <w:tcPr>
            <w:tcW w:type="dxa" w:w="2088"/>
          </w:tcPr>
          <w:p>
            <w:r>
              <w:rPr>
                <w:sz w:val="16"/>
              </w:rPr>
              <w:t>0.34 / 17</w:t>
            </w:r>
          </w:p>
        </w:tc>
        <w:tc>
          <w:tcPr>
            <w:tcW w:type="dxa" w:w="2088"/>
          </w:tcPr>
          <w:p>
            <w:r>
              <w:rPr>
                <w:sz w:val="16"/>
              </w:rPr>
              <w:t>0.42 / 56</w:t>
            </w:r>
          </w:p>
        </w:tc>
        <w:tc>
          <w:tcPr>
            <w:tcW w:type="dxa" w:w="2088"/>
          </w:tcPr>
          <w:p>
            <w:r>
              <w:rPr>
                <w:sz w:val="16"/>
              </w:rPr>
              <w:t>0.48 / 91</w:t>
            </w:r>
          </w:p>
        </w:tc>
        <w:tc>
          <w:tcPr>
            <w:tcW w:type="dxa" w:w="2088"/>
          </w:tcPr>
          <w:p>
            <w:r>
              <w:rPr>
                <w:sz w:val="16"/>
              </w:rPr>
              <w:t>0.55 / 175</w:t>
            </w:r>
          </w:p>
        </w:tc>
      </w:tr>
    </w:tbl>
    <w:p>
      <w:pPr>
        <w:jc w:val="left"/>
      </w:pPr>
      <w:r>
        <w:rPr>
          <w:rFonts w:ascii="Times New Roman" w:hAnsi="Times New Roman" w:eastAsia="SimSun"/>
          <w:b w:val="0"/>
          <w:i/>
          <w:sz w:val="20"/>
        </w:rPr>
        <w:t>E. Ablations</w:t>
      </w:r>
    </w:p>
    <w:p>
      <w:pPr>
        <w:ind w:firstLine="280"/>
        <w:jc w:val="both"/>
      </w:pPr>
      <w:r>
        <w:rPr>
          <w:rFonts w:ascii="Times New Roman" w:hAnsi="Times New Roman" w:eastAsia="SimSun"/>
          <w:b w:val="0"/>
          <w:i w:val="0"/>
          <w:sz w:val="20"/>
        </w:rPr>
        <w:t>Table IV ablates the four design choices that separate Heimdall from a vanilla Mamba. Each component contributes:</w:t>
      </w:r>
    </w:p>
    <w:p>
      <w:pPr>
        <w:jc w:val="center"/>
      </w:pPr>
      <w:r>
        <w:rPr>
          <w:rFonts w:ascii="Times New Roman" w:hAnsi="Times New Roman" w:eastAsia="SimSun"/>
          <w:b w:val="0"/>
          <w:i w:val="0"/>
          <w:sz w:val="16"/>
          <w:smallCaps w:val="true"/>
        </w:rPr>
        <w:t xml:space="preserve">TABLE </w:t>
      </w:r>
      <w:r>
        <w:rPr>
          <w:rFonts w:ascii="Times New Roman" w:hAnsi="Times New Roman" w:eastAsia="SimSun"/>
          <w:b w:val="0"/>
          <w:i w:val="0"/>
          <w:sz w:val="16"/>
        </w:rPr>
        <w:t>IV. Held-out bit-accuracy at each MLM stage.</w:t>
      </w:r>
    </w:p>
    <w:tbl>
      <w:tblPr>
        <w:tblW w:type="auto" w:w="0"/>
        <w:jc w:val="center"/>
        <w:tblLook w:firstColumn="1" w:firstRow="1" w:lastColumn="0" w:lastRow="0" w:noHBand="0" w:noVBand="1" w:val="04A0"/>
      </w:tblPr>
      <w:tblGrid>
        <w:gridCol w:w="2610"/>
        <w:gridCol w:w="2610"/>
        <w:gridCol w:w="2610"/>
        <w:gridCol w:w="2610"/>
      </w:tblGrid>
      <w:tr>
        <w:tc>
          <w:tcPr>
            <w:tcW w:type="dxa" w:w="2610"/>
          </w:tcPr>
          <w:p>
            <w:r>
              <w:rPr>
                <w:b/>
                <w:sz w:val="16"/>
              </w:rPr>
              <w:t>Variant</w:t>
            </w:r>
          </w:p>
        </w:tc>
        <w:tc>
          <w:tcPr>
            <w:tcW w:type="dxa" w:w="2610"/>
          </w:tcPr>
          <w:p>
            <w:r>
              <w:rPr>
                <w:b/>
                <w:sz w:val="16"/>
              </w:rPr>
              <w:t>coarse</w:t>
            </w:r>
          </w:p>
        </w:tc>
        <w:tc>
          <w:tcPr>
            <w:tcW w:type="dxa" w:w="2610"/>
          </w:tcPr>
          <w:p>
            <w:r>
              <w:rPr>
                <w:b/>
                <w:sz w:val="16"/>
              </w:rPr>
              <w:t>medium</w:t>
            </w:r>
          </w:p>
        </w:tc>
        <w:tc>
          <w:tcPr>
            <w:tcW w:type="dxa" w:w="2610"/>
          </w:tcPr>
          <w:p>
            <w:r>
              <w:rPr>
                <w:b/>
                <w:sz w:val="16"/>
              </w:rPr>
              <w:t>fine</w:t>
            </w:r>
          </w:p>
        </w:tc>
      </w:tr>
      <w:tr>
        <w:tc>
          <w:tcPr>
            <w:tcW w:type="dxa" w:w="2610"/>
          </w:tcPr>
          <w:p>
            <w:r>
              <w:rPr>
                <w:sz w:val="16"/>
              </w:rPr>
              <w:t>Outer-only Mamba</w:t>
            </w:r>
          </w:p>
        </w:tc>
        <w:tc>
          <w:tcPr>
            <w:tcW w:type="dxa" w:w="2610"/>
          </w:tcPr>
          <w:p>
            <w:r>
              <w:rPr>
                <w:sz w:val="16"/>
              </w:rPr>
              <w:t>0.881</w:t>
            </w:r>
          </w:p>
        </w:tc>
        <w:tc>
          <w:tcPr>
            <w:tcW w:type="dxa" w:w="2610"/>
          </w:tcPr>
          <w:p>
            <w:r>
              <w:rPr>
                <w:sz w:val="16"/>
              </w:rPr>
              <w:t>0.882</w:t>
            </w:r>
          </w:p>
        </w:tc>
        <w:tc>
          <w:tcPr>
            <w:tcW w:type="dxa" w:w="2610"/>
          </w:tcPr>
          <w:p>
            <w:r>
              <w:rPr>
                <w:sz w:val="16"/>
              </w:rPr>
              <w:t>0.911</w:t>
            </w:r>
          </w:p>
        </w:tc>
      </w:tr>
      <w:tr>
        <w:tc>
          <w:tcPr>
            <w:tcW w:type="dxa" w:w="2610"/>
          </w:tcPr>
          <w:p>
            <w:r>
              <w:rPr>
                <w:sz w:val="16"/>
              </w:rPr>
              <w:t>Inner-only Mamba</w:t>
            </w:r>
          </w:p>
        </w:tc>
        <w:tc>
          <w:tcPr>
            <w:tcW w:type="dxa" w:w="2610"/>
          </w:tcPr>
          <w:p>
            <w:r>
              <w:rPr>
                <w:sz w:val="16"/>
              </w:rPr>
              <w:t>0.864</w:t>
            </w:r>
          </w:p>
        </w:tc>
        <w:tc>
          <w:tcPr>
            <w:tcW w:type="dxa" w:w="2610"/>
          </w:tcPr>
          <w:p>
            <w:r>
              <w:rPr>
                <w:sz w:val="16"/>
              </w:rPr>
              <w:t>0.873</w:t>
            </w:r>
          </w:p>
        </w:tc>
        <w:tc>
          <w:tcPr>
            <w:tcW w:type="dxa" w:w="2610"/>
          </w:tcPr>
          <w:p>
            <w:r>
              <w:rPr>
                <w:sz w:val="16"/>
              </w:rPr>
              <w:t>0.901</w:t>
            </w:r>
          </w:p>
        </w:tc>
      </w:tr>
      <w:tr>
        <w:tc>
          <w:tcPr>
            <w:tcW w:type="dxa" w:w="2610"/>
          </w:tcPr>
          <w:p>
            <w:r>
              <w:rPr>
                <w:sz w:val="16"/>
              </w:rPr>
              <w:t>DS-HMamba w/o gate</w:t>
            </w:r>
          </w:p>
        </w:tc>
        <w:tc>
          <w:tcPr>
            <w:tcW w:type="dxa" w:w="2610"/>
          </w:tcPr>
          <w:p>
            <w:r>
              <w:rPr>
                <w:sz w:val="16"/>
              </w:rPr>
              <w:t>0.901</w:t>
            </w:r>
          </w:p>
        </w:tc>
        <w:tc>
          <w:tcPr>
            <w:tcW w:type="dxa" w:w="2610"/>
          </w:tcPr>
          <w:p>
            <w:r>
              <w:rPr>
                <w:sz w:val="16"/>
              </w:rPr>
              <w:t>0.905</w:t>
            </w:r>
          </w:p>
        </w:tc>
        <w:tc>
          <w:tcPr>
            <w:tcW w:type="dxa" w:w="2610"/>
          </w:tcPr>
          <w:p>
            <w:r>
              <w:rPr>
                <w:sz w:val="16"/>
              </w:rPr>
              <w:t>0.928</w:t>
            </w:r>
          </w:p>
        </w:tc>
      </w:tr>
      <w:tr>
        <w:tc>
          <w:tcPr>
            <w:tcW w:type="dxa" w:w="2610"/>
          </w:tcPr>
          <w:p>
            <w:r>
              <w:rPr>
                <w:sz w:val="16"/>
              </w:rPr>
              <w:t>DS-HMamba w/o entropy</w:t>
            </w:r>
          </w:p>
        </w:tc>
        <w:tc>
          <w:tcPr>
            <w:tcW w:type="dxa" w:w="2610"/>
          </w:tcPr>
          <w:p>
            <w:r>
              <w:rPr>
                <w:sz w:val="16"/>
              </w:rPr>
              <w:t>0.911</w:t>
            </w:r>
          </w:p>
        </w:tc>
        <w:tc>
          <w:tcPr>
            <w:tcW w:type="dxa" w:w="2610"/>
          </w:tcPr>
          <w:p>
            <w:r>
              <w:rPr>
                <w:sz w:val="16"/>
              </w:rPr>
              <w:t>0.913</w:t>
            </w:r>
          </w:p>
        </w:tc>
        <w:tc>
          <w:tcPr>
            <w:tcW w:type="dxa" w:w="2610"/>
          </w:tcPr>
          <w:p>
            <w:r>
              <w:rPr>
                <w:sz w:val="16"/>
              </w:rPr>
              <w:t>0.930</w:t>
            </w:r>
          </w:p>
        </w:tc>
      </w:tr>
      <w:tr>
        <w:tc>
          <w:tcPr>
            <w:tcW w:type="dxa" w:w="2610"/>
          </w:tcPr>
          <w:p>
            <w:r>
              <w:rPr>
                <w:sz w:val="16"/>
              </w:rPr>
              <w:t>Heimdall (full)</w:t>
            </w:r>
          </w:p>
        </w:tc>
        <w:tc>
          <w:tcPr>
            <w:tcW w:type="dxa" w:w="2610"/>
          </w:tcPr>
          <w:p>
            <w:r>
              <w:rPr>
                <w:sz w:val="16"/>
              </w:rPr>
              <w:t>0.927</w:t>
            </w:r>
          </w:p>
        </w:tc>
        <w:tc>
          <w:tcPr>
            <w:tcW w:type="dxa" w:w="2610"/>
          </w:tcPr>
          <w:p>
            <w:r>
              <w:rPr>
                <w:sz w:val="16"/>
              </w:rPr>
              <w:t>0.929</w:t>
            </w:r>
          </w:p>
        </w:tc>
        <w:tc>
          <w:tcPr>
            <w:tcW w:type="dxa" w:w="2610"/>
          </w:tcPr>
          <w:p>
            <w:r>
              <w:rPr>
                <w:sz w:val="16"/>
              </w:rPr>
              <w:t>0.943</w:t>
            </w:r>
          </w:p>
        </w:tc>
      </w:tr>
    </w:tbl>
    <w:p>
      <w:pPr>
        <w:ind w:left="560" w:hanging="280"/>
        <w:jc w:val="both"/>
      </w:pPr>
      <w:r>
        <w:rPr>
          <w:rFonts w:ascii="Times New Roman" w:hAnsi="Times New Roman" w:eastAsia="SimSun"/>
          <w:b w:val="0"/>
          <w:i w:val="0"/>
          <w:sz w:val="20"/>
        </w:rPr>
        <w:t>• Adding the inner scan to the outer scan (full DS-HMamba w/o gate versus Outer-only) lifts coarse accuracy by +2.0 points and fine by +1.7, confirming that peer-AS structure carries information not available to a single-prefix model.</w:t>
      </w:r>
    </w:p>
    <w:p>
      <w:pPr>
        <w:ind w:left="560" w:hanging="280"/>
        <w:jc w:val="both"/>
      </w:pPr>
      <w:r>
        <w:rPr>
          <w:rFonts w:ascii="Times New Roman" w:hAnsi="Times New Roman" w:eastAsia="SimSun"/>
          <w:b w:val="0"/>
          <w:i w:val="0"/>
          <w:sz w:val="20"/>
        </w:rPr>
        <w:t>• Replacing mean-pool fusion with the AS-conditioned gate lifts another +2.6 at coarse and +1.5 at fine, showing that which of the two scans matters depends on the AS.</w:t>
      </w:r>
    </w:p>
    <w:p>
      <w:pPr>
        <w:ind w:left="560" w:hanging="280"/>
        <w:jc w:val="both"/>
      </w:pPr>
      <w:r>
        <w:rPr>
          <w:rFonts w:ascii="Times New Roman" w:hAnsi="Times New Roman" w:eastAsia="SimSun"/>
          <w:b w:val="0"/>
          <w:i w:val="0"/>
          <w:sz w:val="20"/>
        </w:rPr>
        <w:t>• Per-bit entropy weighting yields a final +1.3 on average, consistent with its role of redirecting capacity to the genuinely variable bits.</w:t>
      </w:r>
    </w:p>
    <w:p>
      <w:pPr>
        <w:jc w:val="both"/>
      </w:pPr>
      <w:r>
        <w:rPr>
          <w:rFonts w:ascii="Times New Roman" w:hAnsi="Times New Roman" w:eastAsia="SimSun"/>
          <w:b/>
          <w:i/>
          <w:sz w:val="20"/>
        </w:rPr>
        <w:t xml:space="preserve">Sampling temperature.  </w:t>
      </w:r>
      <w:r>
        <w:rPr>
          <w:rFonts w:ascii="Times New Roman" w:hAnsi="Times New Roman" w:eastAsia="SimSun"/>
          <w:b w:val="0"/>
          <w:i w:val="0"/>
          <w:sz w:val="20"/>
        </w:rPr>
        <w:t>Following Gungnir we sweep T ∈ {0.2, 0.4, 0.6, 0.8}. Best end-to-end coverage is reached at T = 0.6, matching Gungnir's recommendation. However, when the adaptive controller is enabled the closed-loop variant becomes robust to T₀ in [0.4, 1.0]: starting at any value in this band, the temperature converges to ~0.55 within five rounds.</w:t>
      </w:r>
    </w:p>
    <w:p>
      <w:pPr>
        <w:jc w:val="center"/>
      </w:pPr>
      <w:r>
        <w:rPr>
          <w:rFonts w:ascii="Times New Roman" w:hAnsi="Times New Roman" w:eastAsia="SimSun"/>
          <w:b w:val="0"/>
          <w:i w:val="0"/>
          <w:sz w:val="20"/>
          <w:smallCaps w:val="true"/>
        </w:rPr>
        <w:t>VII. Long-Term Multi-Protocol Probing and FRP Analysis</w:t>
      </w:r>
    </w:p>
    <w:p>
      <w:pPr>
        <w:ind w:firstLine="280"/>
        <w:jc w:val="both"/>
      </w:pPr>
      <w:r>
        <w:rPr>
          <w:rFonts w:ascii="Times New Roman" w:hAnsi="Times New Roman" w:eastAsia="SimSun"/>
          <w:b w:val="0"/>
          <w:i w:val="0"/>
          <w:sz w:val="20"/>
        </w:rPr>
        <w:t>We ran Heimdall continuously for three months over 23 active protocols (ICMPv6, TCP, UDP). Compared against the publicly released hitlist [19] and Luori's FRP list, our crawl extends Cov_AS from 335 / 530 to 684 and Cov_Routing from 3,237 / 7,324 to 9,512. Three findings echo and refine the observations of [13]:</w:t>
      </w:r>
    </w:p>
    <w:p>
      <w:pPr>
        <w:jc w:val="both"/>
      </w:pPr>
      <w:r>
        <w:rPr>
          <w:rFonts w:ascii="Times New Roman" w:hAnsi="Times New Roman" w:eastAsia="SimSun"/>
          <w:b/>
          <w:i/>
          <w:sz w:val="20"/>
        </w:rPr>
        <w:t xml:space="preserve">Concentration.  </w:t>
      </w:r>
      <w:r>
        <w:rPr>
          <w:rFonts w:ascii="Times New Roman" w:hAnsi="Times New Roman" w:eastAsia="SimSun"/>
          <w:b w:val="0"/>
          <w:i w:val="0"/>
          <w:sz w:val="20"/>
        </w:rPr>
        <w:t>Three organisations—Cloudflare, Amazon, and Akamai—contribute &gt;2M ICMPv6 FRPs, dominated by fine-granularity /64–/56 prefixes consistent with ip_nonlocal_bind mass-binding.</w:t>
      </w:r>
    </w:p>
    <w:p>
      <w:pPr>
        <w:jc w:val="both"/>
      </w:pPr>
      <w:r>
        <w:rPr>
          <w:rFonts w:ascii="Times New Roman" w:hAnsi="Times New Roman" w:eastAsia="SimSun"/>
          <w:b/>
          <w:i/>
          <w:sz w:val="20"/>
        </w:rPr>
        <w:t xml:space="preserve">Service vs. port mismatch.  </w:t>
      </w:r>
      <w:r>
        <w:rPr>
          <w:rFonts w:ascii="Times New Roman" w:hAnsi="Times New Roman" w:eastAsia="SimSun"/>
          <w:b w:val="0"/>
          <w:i w:val="0"/>
          <w:sz w:val="20"/>
        </w:rPr>
        <w:t>Of 1.6M generated addresses in HTTP-FRPs, only 15% actually serve HTTP; the remainder respond at the TCP layer but provide no application content. We hypothesise an outbound-proxy IP pool design intended to defeat per-IP rate limits, with the side effect of evading single-IP-based DDoS defences.</w:t>
      </w:r>
    </w:p>
    <w:p>
      <w:pPr>
        <w:jc w:val="both"/>
      </w:pPr>
      <w:r>
        <w:rPr>
          <w:rFonts w:ascii="Times New Roman" w:hAnsi="Times New Roman" w:eastAsia="SimSun"/>
          <w:b/>
          <w:i/>
          <w:sz w:val="20"/>
        </w:rPr>
        <w:t xml:space="preserve">Security tells.  </w:t>
      </w:r>
      <w:r>
        <w:rPr>
          <w:rFonts w:ascii="Times New Roman" w:hAnsi="Times New Roman" w:eastAsia="SimSun"/>
          <w:b w:val="0"/>
          <w:i w:val="0"/>
          <w:sz w:val="20"/>
        </w:rPr>
        <w:t>Among SSH-FRPs we observed OpenSSH 7.2p2 retaining diffie-hellman-group14-sha1 in ~11% of fingerprints, strongly suggesting honeypot deployments. Among SSL/TLS-FRPs, ~23% share a single Cloudflare wildcard certificate; private-key compromise would simultaneously expose every covered FRP, motivating automated rotation.</w:t>
      </w:r>
    </w:p>
    <w:p>
      <w:pPr>
        <w:jc w:val="center"/>
      </w:pPr>
      <w:r>
        <w:rPr>
          <w:rFonts w:ascii="Times New Roman" w:hAnsi="Times New Roman" w:eastAsia="SimSun"/>
          <w:b w:val="0"/>
          <w:i w:val="0"/>
          <w:sz w:val="20"/>
          <w:smallCaps w:val="true"/>
        </w:rPr>
        <w:t>VIII. Ethical Considerations</w:t>
      </w:r>
    </w:p>
    <w:p>
      <w:pPr>
        <w:ind w:firstLine="280"/>
        <w:jc w:val="both"/>
      </w:pPr>
      <w:r>
        <w:rPr>
          <w:rFonts w:ascii="Times New Roman" w:hAnsi="Times New Roman" w:eastAsia="SimSun"/>
          <w:b w:val="0"/>
          <w:i w:val="0"/>
          <w:sz w:val="20"/>
        </w:rPr>
        <w:t>We follow the Menlo report [20] and the community guidance of [21]. All scanning runs from a single vantage point at ≤1 Mbps with randomised destination ordering and no single batch exceeding 10 minutes. We maintain an opt-out list and honor every received exclusion request within 24 hours. No penetration testing is performed: vulnerabilities are inferred only from banners and version strings, never validated against live hosts.</w:t>
      </w:r>
    </w:p>
    <w:p>
      <w:pPr>
        <w:jc w:val="center"/>
      </w:pPr>
      <w:r>
        <w:rPr>
          <w:rFonts w:ascii="Times New Roman" w:hAnsi="Times New Roman" w:eastAsia="SimSun"/>
          <w:b w:val="0"/>
          <w:i w:val="0"/>
          <w:sz w:val="20"/>
          <w:smallCaps w:val="true"/>
        </w:rPr>
        <w:t>IX. Conclusion</w:t>
      </w:r>
    </w:p>
    <w:p>
      <w:pPr>
        <w:ind w:firstLine="280"/>
        <w:jc w:val="both"/>
      </w:pPr>
      <w:r>
        <w:rPr>
          <w:rFonts w:ascii="Times New Roman" w:hAnsi="Times New Roman" w:eastAsia="SimSun"/>
          <w:b w:val="0"/>
          <w:i w:val="0"/>
          <w:sz w:val="20"/>
        </w:rPr>
        <w:t>We presented Heimdall, a closed-loop FRP discovery system that replaces Transformer-based autoregression with a Dual-Scan Hierarchical Mamba. By scanning bits within a prefix and samples within an AS, gating their fusion on AS metadata, training with entropy-weighted layer-wise MLM, and running an online APD-feedback loop with bidirectional seed filtering and adaptive temperature, Heimdall improves over the SOTA Gungnir by up to 1.9× in discovery throughput and 1.2× in AS coverage at identical probing budgets, while halving wall-clock time. We hope that the open release of the system, the curated FRP list, and the closed-loop methodology will accelerate measurement and defence research on the IPv6 ecosystem.</w:t>
      </w:r>
    </w:p>
    <w:p>
      <w:pPr>
        <w:jc w:val="center"/>
      </w:pPr>
      <w:r>
        <w:rPr>
          <w:rFonts w:ascii="Times New Roman" w:hAnsi="Times New Roman" w:eastAsia="SimSun"/>
          <w:b w:val="0"/>
          <w:i w:val="0"/>
          <w:sz w:val="20"/>
          <w:smallCaps w:val="true"/>
        </w:rPr>
        <w:t>References</w:t>
      </w:r>
    </w:p>
    <w:p>
      <w:pPr>
        <w:ind w:left="280" w:hanging="280"/>
        <w:jc w:val="both"/>
      </w:pPr>
      <w:r>
        <w:rPr>
          <w:rFonts w:ascii="Times New Roman" w:hAnsi="Times New Roman" w:eastAsia="SimSun"/>
          <w:b w:val="0"/>
          <w:i w:val="0"/>
          <w:sz w:val="16"/>
        </w:rPr>
        <w:t xml:space="preserve">[1] </w:t>
      </w:r>
      <w:r>
        <w:rPr>
          <w:rFonts w:ascii="Times New Roman" w:hAnsi="Times New Roman" w:eastAsia="SimSun"/>
          <w:b w:val="0"/>
          <w:i w:val="0"/>
          <w:sz w:val="16"/>
        </w:rPr>
        <w:t>Z. Durumeric, E. Wustrow, and J. A. Halderman, "ZMap: Fast Internet-wide scanning and its security applications," in USENIX Security, 2013.</w:t>
      </w:r>
    </w:p>
    <w:p>
      <w:pPr>
        <w:ind w:left="280" w:hanging="280"/>
        <w:jc w:val="both"/>
      </w:pPr>
      <w:r>
        <w:rPr>
          <w:rFonts w:ascii="Times New Roman" w:hAnsi="Times New Roman" w:eastAsia="SimSun"/>
          <w:b w:val="0"/>
          <w:i w:val="0"/>
          <w:sz w:val="16"/>
        </w:rPr>
        <w:t xml:space="preserve">[2] </w:t>
      </w:r>
      <w:r>
        <w:rPr>
          <w:rFonts w:ascii="Times New Roman" w:hAnsi="Times New Roman" w:eastAsia="SimSun"/>
          <w:b w:val="0"/>
          <w:i w:val="0"/>
          <w:sz w:val="16"/>
        </w:rPr>
        <w:t>E. Rye and D. Levin, "IPv6 hitlists at scale: Be careful what you wish for," in ACM SIGCOMM, 2023.</w:t>
      </w:r>
    </w:p>
    <w:p>
      <w:pPr>
        <w:ind w:left="280" w:hanging="280"/>
        <w:jc w:val="both"/>
      </w:pPr>
      <w:r>
        <w:rPr>
          <w:rFonts w:ascii="Times New Roman" w:hAnsi="Times New Roman" w:eastAsia="SimSun"/>
          <w:b w:val="0"/>
          <w:i w:val="0"/>
          <w:sz w:val="16"/>
        </w:rPr>
        <w:t xml:space="preserve">[3] </w:t>
      </w:r>
      <w:r>
        <w:rPr>
          <w:rFonts w:ascii="Times New Roman" w:hAnsi="Times New Roman" w:eastAsia="SimSun"/>
          <w:b w:val="0"/>
          <w:i w:val="0"/>
          <w:sz w:val="16"/>
        </w:rPr>
        <w:t>K. Vermeulen et al., "Diamond-Miner: Comprehensive discovery of the Internet's topology diamonds," in NSDI, 2020.</w:t>
      </w:r>
    </w:p>
    <w:p>
      <w:pPr>
        <w:ind w:left="280" w:hanging="280"/>
        <w:jc w:val="both"/>
      </w:pPr>
      <w:r>
        <w:rPr>
          <w:rFonts w:ascii="Times New Roman" w:hAnsi="Times New Roman" w:eastAsia="SimSun"/>
          <w:b w:val="0"/>
          <w:i w:val="0"/>
          <w:sz w:val="16"/>
        </w:rPr>
        <w:t xml:space="preserve">[4] </w:t>
      </w:r>
      <w:r>
        <w:rPr>
          <w:rFonts w:ascii="Times New Roman" w:hAnsi="Times New Roman" w:eastAsia="SimSun"/>
          <w:b w:val="0"/>
          <w:i w:val="0"/>
          <w:sz w:val="16"/>
        </w:rPr>
        <w:t>A. Murdock, F. Li, P. Bramsen, Z. Durumeric, and V. Paxson, "Target generation for Internet-wide IPv6 scanning," in IMC, 2017.</w:t>
      </w:r>
    </w:p>
    <w:p>
      <w:pPr>
        <w:ind w:left="280" w:hanging="280"/>
        <w:jc w:val="both"/>
      </w:pPr>
      <w:r>
        <w:rPr>
          <w:rFonts w:ascii="Times New Roman" w:hAnsi="Times New Roman" w:eastAsia="SimSun"/>
          <w:b w:val="0"/>
          <w:i w:val="0"/>
          <w:sz w:val="16"/>
        </w:rPr>
        <w:t xml:space="preserve">[5] </w:t>
      </w:r>
      <w:r>
        <w:rPr>
          <w:rFonts w:ascii="Times New Roman" w:hAnsi="Times New Roman" w:eastAsia="SimSun"/>
          <w:b w:val="0"/>
          <w:i w:val="0"/>
          <w:sz w:val="16"/>
        </w:rPr>
        <w:t>T. Yang, Z. Cai, B. Hou, and T. Zhou, "6Forest: An ensemble learning-based approach to target generation for Internet-wide IPv6 scanning," in IEEE INFOCOM, 2022.</w:t>
      </w:r>
    </w:p>
    <w:p>
      <w:pPr>
        <w:ind w:left="280" w:hanging="280"/>
        <w:jc w:val="both"/>
      </w:pPr>
      <w:r>
        <w:rPr>
          <w:rFonts w:ascii="Times New Roman" w:hAnsi="Times New Roman" w:eastAsia="SimSun"/>
          <w:b w:val="0"/>
          <w:i w:val="0"/>
          <w:sz w:val="16"/>
        </w:rPr>
        <w:t xml:space="preserve">[6] </w:t>
      </w:r>
      <w:r>
        <w:rPr>
          <w:rFonts w:ascii="Times New Roman" w:hAnsi="Times New Roman" w:eastAsia="SimSun"/>
          <w:b w:val="0"/>
          <w:i w:val="0"/>
          <w:sz w:val="16"/>
        </w:rPr>
        <w:t>B. Hou, Z. Cai, K. Wu, J. Su, and Y. Xiong, "6Hit: A reinforcement learning-based approach to target generation for Internet-wide IPv6 scanning," in IEEE INFOCOM, 2021.</w:t>
      </w:r>
    </w:p>
    <w:p>
      <w:pPr>
        <w:ind w:left="280" w:hanging="280"/>
        <w:jc w:val="both"/>
      </w:pPr>
      <w:r>
        <w:rPr>
          <w:rFonts w:ascii="Times New Roman" w:hAnsi="Times New Roman" w:eastAsia="SimSun"/>
          <w:b w:val="0"/>
          <w:i w:val="0"/>
          <w:sz w:val="16"/>
        </w:rPr>
        <w:t xml:space="preserve">[7] </w:t>
      </w:r>
      <w:r>
        <w:rPr>
          <w:rFonts w:ascii="Times New Roman" w:hAnsi="Times New Roman" w:eastAsia="SimSun"/>
          <w:b w:val="0"/>
          <w:i w:val="0"/>
          <w:sz w:val="16"/>
        </w:rPr>
        <w:t>G. Song et al., "DET: Enabling efficient probing of IPv6 active addresses," IEEE/ACM Trans. Netw., 2022.</w:t>
      </w:r>
    </w:p>
    <w:p>
      <w:pPr>
        <w:ind w:left="280" w:hanging="280"/>
        <w:jc w:val="both"/>
      </w:pPr>
      <w:r>
        <w:rPr>
          <w:rFonts w:ascii="Times New Roman" w:hAnsi="Times New Roman" w:eastAsia="SimSun"/>
          <w:b w:val="0"/>
          <w:i w:val="0"/>
          <w:sz w:val="16"/>
        </w:rPr>
        <w:t xml:space="preserve">[8] </w:t>
      </w:r>
      <w:r>
        <w:rPr>
          <w:rFonts w:ascii="Times New Roman" w:hAnsi="Times New Roman" w:eastAsia="SimSun"/>
          <w:b w:val="0"/>
          <w:i w:val="0"/>
          <w:sz w:val="16"/>
        </w:rPr>
        <w:t>T. Yang, B. Hou, Z. Cai, K. Wu, T. Zhou, and C. Wang, "6Graph: A graph-theoretic approach to address pattern mining for Internet-wide IPv6 scanning," Computer Networks, 2022.</w:t>
      </w:r>
    </w:p>
    <w:p>
      <w:pPr>
        <w:ind w:left="280" w:hanging="280"/>
        <w:jc w:val="both"/>
      </w:pPr>
      <w:r>
        <w:rPr>
          <w:rFonts w:ascii="Times New Roman" w:hAnsi="Times New Roman" w:eastAsia="SimSun"/>
          <w:b w:val="0"/>
          <w:i w:val="0"/>
          <w:sz w:val="16"/>
        </w:rPr>
        <w:t xml:space="preserve">[9] </w:t>
      </w:r>
      <w:r>
        <w:rPr>
          <w:rFonts w:ascii="Times New Roman" w:hAnsi="Times New Roman" w:eastAsia="SimSun"/>
          <w:b w:val="0"/>
          <w:i w:val="0"/>
          <w:sz w:val="16"/>
        </w:rPr>
        <w:t>O. Gasser et al., "Clusters in the expanse: Understanding and unbiasing IPv6 hitlists," in IMC, 2018.</w:t>
      </w:r>
    </w:p>
    <w:p>
      <w:pPr>
        <w:ind w:left="280" w:hanging="280"/>
        <w:jc w:val="both"/>
      </w:pPr>
      <w:r>
        <w:rPr>
          <w:rFonts w:ascii="Times New Roman" w:hAnsi="Times New Roman" w:eastAsia="SimSun"/>
          <w:b w:val="0"/>
          <w:i w:val="0"/>
          <w:sz w:val="16"/>
        </w:rPr>
        <w:t xml:space="preserve">[10] </w:t>
      </w:r>
      <w:r>
        <w:rPr>
          <w:rFonts w:ascii="Times New Roman" w:hAnsi="Times New Roman" w:eastAsia="SimSun"/>
          <w:b w:val="0"/>
          <w:i w:val="0"/>
          <w:sz w:val="16"/>
        </w:rPr>
        <w:t>J. Zirngibl, L. Steger, P. Sattler, O. Gasser, and G. Carle, "Rusty clusters? Dusting an IPv6 research foundation," in IMC, 2022.</w:t>
      </w:r>
    </w:p>
    <w:p>
      <w:pPr>
        <w:ind w:left="280" w:hanging="280"/>
        <w:jc w:val="both"/>
      </w:pPr>
      <w:r>
        <w:rPr>
          <w:rFonts w:ascii="Times New Roman" w:hAnsi="Times New Roman" w:eastAsia="SimSun"/>
          <w:b w:val="0"/>
          <w:i w:val="0"/>
          <w:sz w:val="16"/>
        </w:rPr>
        <w:t xml:space="preserve">[11] </w:t>
      </w:r>
      <w:r>
        <w:rPr>
          <w:rFonts w:ascii="Times New Roman" w:hAnsi="Times New Roman" w:eastAsia="SimSun"/>
          <w:b w:val="0"/>
          <w:i w:val="0"/>
          <w:sz w:val="16"/>
        </w:rPr>
        <w:t>P. Sattler, J. Zirngibl, M. Jonker, O. Gasser, G. Carle, and R. Holz, "Packed to the brim: Investigating the impact of highly responsive prefixes on Internet-wide measurement campaigns," Proc. ACM Networking, vol. 1, 2023.</w:t>
      </w:r>
    </w:p>
    <w:p>
      <w:pPr>
        <w:ind w:left="280" w:hanging="280"/>
        <w:jc w:val="both"/>
      </w:pPr>
      <w:r>
        <w:rPr>
          <w:rFonts w:ascii="Times New Roman" w:hAnsi="Times New Roman" w:eastAsia="SimSun"/>
          <w:b w:val="0"/>
          <w:i w:val="0"/>
          <w:sz w:val="16"/>
        </w:rPr>
        <w:t xml:space="preserve">[12] </w:t>
      </w:r>
      <w:r>
        <w:rPr>
          <w:rFonts w:ascii="Times New Roman" w:hAnsi="Times New Roman" w:eastAsia="SimSun"/>
          <w:b w:val="0"/>
          <w:i w:val="0"/>
          <w:sz w:val="16"/>
        </w:rPr>
        <w:t>D. Cheng et al., "Luori: Active probing and evaluation of Internet-wide IPv6 fully responsive prefixes," in IEEE ICNP, 2024.</w:t>
      </w:r>
    </w:p>
    <w:p>
      <w:pPr>
        <w:ind w:left="280" w:hanging="280"/>
        <w:jc w:val="both"/>
      </w:pPr>
      <w:r>
        <w:rPr>
          <w:rFonts w:ascii="Times New Roman" w:hAnsi="Times New Roman" w:eastAsia="SimSun"/>
          <w:b w:val="0"/>
          <w:i w:val="0"/>
          <w:sz w:val="16"/>
        </w:rPr>
        <w:t xml:space="preserve">[13] </w:t>
      </w:r>
      <w:r>
        <w:rPr>
          <w:rFonts w:ascii="Times New Roman" w:hAnsi="Times New Roman" w:eastAsia="SimSun"/>
          <w:b w:val="0"/>
          <w:i w:val="0"/>
          <w:sz w:val="16"/>
        </w:rPr>
        <w:t>C. Wei, Y. Liu, L. He, D. Cheng, and J. Zhou, "Gungnir: Autoregressive model for unified generation of IPv6 fully responsive prefixes," in IEEE ICNP, 2025.</w:t>
      </w:r>
    </w:p>
    <w:p>
      <w:pPr>
        <w:ind w:left="280" w:hanging="280"/>
        <w:jc w:val="both"/>
      </w:pPr>
      <w:r>
        <w:rPr>
          <w:rFonts w:ascii="Times New Roman" w:hAnsi="Times New Roman" w:eastAsia="SimSun"/>
          <w:b w:val="0"/>
          <w:i w:val="0"/>
          <w:sz w:val="16"/>
        </w:rPr>
        <w:t xml:space="preserve">[14] </w:t>
      </w:r>
      <w:r>
        <w:rPr>
          <w:rFonts w:ascii="Times New Roman" w:hAnsi="Times New Roman" w:eastAsia="SimSun"/>
          <w:b w:val="0"/>
          <w:i w:val="0"/>
          <w:sz w:val="16"/>
        </w:rPr>
        <w:t>A. Gu and T. Dao, "Mamba: Linear-time sequence modeling with selective state spaces," arXiv:2312.00752, 2023.</w:t>
      </w:r>
    </w:p>
    <w:p>
      <w:pPr>
        <w:ind w:left="280" w:hanging="280"/>
        <w:jc w:val="both"/>
      </w:pPr>
      <w:r>
        <w:rPr>
          <w:rFonts w:ascii="Times New Roman" w:hAnsi="Times New Roman" w:eastAsia="SimSun"/>
          <w:b w:val="0"/>
          <w:i w:val="0"/>
          <w:sz w:val="16"/>
        </w:rPr>
        <w:t xml:space="preserve">[15] </w:t>
      </w:r>
      <w:r>
        <w:rPr>
          <w:rFonts w:ascii="Times New Roman" w:hAnsi="Times New Roman" w:eastAsia="SimSun"/>
          <w:b w:val="0"/>
          <w:i w:val="0"/>
          <w:sz w:val="16"/>
        </w:rPr>
        <w:t>L. Zhu et al., "Vision Mamba: Efficient visual representation learning with bidirectional state-space model," in ICML, 2024.</w:t>
      </w:r>
    </w:p>
    <w:p>
      <w:pPr>
        <w:ind w:left="280" w:hanging="280"/>
        <w:jc w:val="both"/>
      </w:pPr>
      <w:r>
        <w:rPr>
          <w:rFonts w:ascii="Times New Roman" w:hAnsi="Times New Roman" w:eastAsia="SimSun"/>
          <w:b w:val="0"/>
          <w:i w:val="0"/>
          <w:sz w:val="16"/>
        </w:rPr>
        <w:t xml:space="preserve">[16] </w:t>
      </w:r>
      <w:r>
        <w:rPr>
          <w:rFonts w:ascii="Times New Roman" w:hAnsi="Times New Roman" w:eastAsia="SimSun"/>
          <w:b w:val="0"/>
          <w:i w:val="0"/>
          <w:sz w:val="16"/>
        </w:rPr>
        <w:t>R. Hinden and S. Deering, "IP version 6 addressing architecture," RFC 4291, 2006.</w:t>
      </w:r>
    </w:p>
    <w:p>
      <w:pPr>
        <w:ind w:left="280" w:hanging="280"/>
        <w:jc w:val="both"/>
      </w:pPr>
      <w:r>
        <w:rPr>
          <w:rFonts w:ascii="Times New Roman" w:hAnsi="Times New Roman" w:eastAsia="SimSun"/>
          <w:b w:val="0"/>
          <w:i w:val="0"/>
          <w:sz w:val="16"/>
        </w:rPr>
        <w:t xml:space="preserve">[17] </w:t>
      </w:r>
      <w:r>
        <w:rPr>
          <w:rFonts w:ascii="Times New Roman" w:hAnsi="Times New Roman" w:eastAsia="SimSun"/>
          <w:b w:val="0"/>
          <w:i w:val="0"/>
          <w:sz w:val="16"/>
        </w:rPr>
        <w:t>University of Oregon, "Route Views project," https://www.routeviews.org/, 2024.</w:t>
      </w:r>
    </w:p>
    <w:p>
      <w:pPr>
        <w:ind w:left="280" w:hanging="280"/>
        <w:jc w:val="both"/>
      </w:pPr>
      <w:r>
        <w:rPr>
          <w:rFonts w:ascii="Times New Roman" w:hAnsi="Times New Roman" w:eastAsia="SimSun"/>
          <w:b w:val="0"/>
          <w:i w:val="0"/>
          <w:sz w:val="16"/>
        </w:rPr>
        <w:t xml:space="preserve">[18] </w:t>
      </w:r>
      <w:r>
        <w:rPr>
          <w:rFonts w:ascii="Times New Roman" w:hAnsi="Times New Roman" w:eastAsia="SimSun"/>
          <w:b w:val="0"/>
          <w:i w:val="0"/>
          <w:sz w:val="16"/>
        </w:rPr>
        <w:t>CAIDA, "AS-to-organization mapping dataset," https://www.caida.org/catalog/datasets/as-organizations/, 2024.</w:t>
      </w:r>
    </w:p>
    <w:p>
      <w:pPr>
        <w:ind w:left="280" w:hanging="280"/>
        <w:jc w:val="both"/>
      </w:pPr>
      <w:r>
        <w:rPr>
          <w:rFonts w:ascii="Times New Roman" w:hAnsi="Times New Roman" w:eastAsia="SimSun"/>
          <w:b w:val="0"/>
          <w:i w:val="0"/>
          <w:sz w:val="16"/>
        </w:rPr>
        <w:t xml:space="preserve">[19] </w:t>
      </w:r>
      <w:r>
        <w:rPr>
          <w:rFonts w:ascii="Times New Roman" w:hAnsi="Times New Roman" w:eastAsia="SimSun"/>
          <w:b w:val="0"/>
          <w:i w:val="0"/>
          <w:sz w:val="16"/>
        </w:rPr>
        <w:t>TUM, "IPv6 hitlist service," https://ipv6hitlist.github.io/, 2025.</w:t>
      </w:r>
    </w:p>
    <w:p>
      <w:pPr>
        <w:ind w:left="280" w:hanging="280"/>
        <w:jc w:val="both"/>
      </w:pPr>
      <w:r>
        <w:rPr>
          <w:rFonts w:ascii="Times New Roman" w:hAnsi="Times New Roman" w:eastAsia="SimSun"/>
          <w:b w:val="0"/>
          <w:i w:val="0"/>
          <w:sz w:val="16"/>
        </w:rPr>
        <w:t xml:space="preserve">[20] </w:t>
      </w:r>
      <w:r>
        <w:rPr>
          <w:rFonts w:ascii="Times New Roman" w:hAnsi="Times New Roman" w:eastAsia="SimSun"/>
          <w:b w:val="0"/>
          <w:i w:val="0"/>
          <w:sz w:val="16"/>
        </w:rPr>
        <w:t>E. Kenneally and D. Dittrich, "The Menlo report: Ethical principles guiding information and communication technology research," SSRN, 2014.</w:t>
      </w:r>
    </w:p>
    <w:p>
      <w:pPr>
        <w:ind w:left="280" w:hanging="280"/>
        <w:jc w:val="both"/>
      </w:pPr>
      <w:r>
        <w:rPr>
          <w:rFonts w:ascii="Times New Roman" w:hAnsi="Times New Roman" w:eastAsia="SimSun"/>
          <w:b w:val="0"/>
          <w:i w:val="0"/>
          <w:sz w:val="16"/>
        </w:rPr>
        <w:t xml:space="preserve">[21] </w:t>
      </w:r>
      <w:r>
        <w:rPr>
          <w:rFonts w:ascii="Times New Roman" w:hAnsi="Times New Roman" w:eastAsia="SimSun"/>
          <w:b w:val="0"/>
          <w:i w:val="0"/>
          <w:sz w:val="16"/>
        </w:rPr>
        <w:t>C. Partridge and M. Allman, "Ethical considerations in network measurement papers," Commun. ACM, 2016.</w:t>
      </w:r>
    </w:p>
    <w:sectPr w:rsidR="009303D9" w:rsidSect="003B4E04">
      <w:type w:val="continuous"/>
      <w:pgSz w:w="12240" w:h="15840" w:code="9"/>
      <w:pgMar w:top="1080" w:right="900" w:bottom="1440" w:left="900" w:header="36pt" w:footer="36pt" w:gutter="0pt"/>
      <w:cols w:space="36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