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D0DCB">
      <w:pPr>
        <w:pStyle w:val="2"/>
        <w:bidi w:val="0"/>
      </w:pPr>
      <w:r>
        <w:t>倒杆(塔)事故处理预案</w:t>
      </w:r>
    </w:p>
    <w:p w14:paraId="7AFE8828">
      <w:pPr>
        <w:pStyle w:val="2"/>
        <w:bidi w:val="0"/>
      </w:pPr>
      <w:r>
        <w:t>1典型故障分析：</w:t>
      </w:r>
    </w:p>
    <w:p w14:paraId="4B3B077D">
      <w:pPr>
        <w:pStyle w:val="2"/>
        <w:bidi w:val="0"/>
      </w:pPr>
      <w:r>
        <w:t>1.1拉线遭外力破坏造成独脚塔倒塔、混凝土耐张杆倒杆，110KV金南、台射线可能发生。</w:t>
      </w:r>
    </w:p>
    <w:p w14:paraId="4C28C29D">
      <w:pPr>
        <w:pStyle w:val="2"/>
        <w:bidi w:val="0"/>
      </w:pPr>
      <w:r>
        <w:t>1.2地质不稳定如滑坡造成杆基移位倾倒、垮岩造成杆塔倾倒，以混凝土杆发生几率较大，铁塔较小。</w:t>
      </w:r>
    </w:p>
    <w:p w14:paraId="5DF212EB">
      <w:pPr>
        <w:pStyle w:val="2"/>
        <w:bidi w:val="0"/>
      </w:pPr>
      <w:r>
        <w:t>2处理方案及技术要点：</w:t>
      </w:r>
    </w:p>
    <w:p w14:paraId="256AE2BD">
      <w:pPr>
        <w:pStyle w:val="2"/>
        <w:bidi w:val="0"/>
      </w:pPr>
      <w:r>
        <w:t>2.1倒杆极可能发生导线及相邻杆塔受损，应对故障点至两端耐张杆范围踏勘，全面查清设备损失情况。</w:t>
      </w:r>
    </w:p>
    <w:p w14:paraId="4EAB3A7D">
      <w:pPr>
        <w:pStyle w:val="2"/>
        <w:bidi w:val="0"/>
      </w:pPr>
      <w:r>
        <w:t>2.2如果独脚塔主材无变形、裂纹、开焊，仅部分辅材有裂纹、开焊，采用方案为更换辅材、原塔组立；主材若有问题，全塔更换。</w:t>
      </w:r>
    </w:p>
    <w:p w14:paraId="1FE0223E">
      <w:pPr>
        <w:pStyle w:val="2"/>
        <w:bidi w:val="0"/>
      </w:pPr>
      <w:r>
        <w:t>2.3混凝土杆塔若无开焊、裂纹，原杆重立；若有不超过0.2 MM裂纹，送电任务又比较紧急时，经上报公司批准，可原杆重立。</w:t>
      </w:r>
    </w:p>
    <w:p w14:paraId="5950677D">
      <w:pPr>
        <w:pStyle w:val="2"/>
        <w:bidi w:val="0"/>
      </w:pPr>
      <w:r>
        <w:t>3特别注意事项</w:t>
      </w:r>
    </w:p>
    <w:p w14:paraId="318E5BE4">
      <w:pPr>
        <w:pStyle w:val="2"/>
        <w:bidi w:val="0"/>
      </w:pPr>
      <w:r>
        <w:t>3.1因目前无杆塔备件，线路恢复周期可能较长。恢复前，必须采取现场看护等临时安全、技术措施，防止事故扩大、设备被盗。</w:t>
      </w:r>
    </w:p>
    <w:p w14:paraId="77D0755E">
      <w:pPr>
        <w:pStyle w:val="2"/>
        <w:bidi w:val="0"/>
      </w:pPr>
      <w:r>
        <w:t>3.2如果确认是人为破坏，应保护好现场，就地向辖区派出所报案，并尽可能进行拍照等取证工作。</w:t>
      </w:r>
    </w:p>
    <w:p w14:paraId="542033F1">
      <w:pPr>
        <w:pStyle w:val="2"/>
        <w:bidi w:val="0"/>
      </w:pPr>
      <w:r>
        <w:t>3.3制订检修方案时，应开挖检查接地是否良好。</w:t>
      </w:r>
    </w:p>
    <w:p w14:paraId="7DB09C69">
      <w:pPr>
        <w:spacing w:line="219" w:lineRule="auto"/>
        <w:sectPr>
          <w:footerReference r:id="rId5" w:type="default"/>
          <w:pgSz w:w="11890" w:h="16830"/>
          <w:pgMar w:top="1430" w:right="1783" w:bottom="1039" w:left="1739" w:header="0" w:footer="742" w:gutter="0"/>
          <w:cols w:space="720" w:num="1"/>
        </w:sectPr>
      </w:pPr>
    </w:p>
    <w:p w14:paraId="14DDFC34">
      <w:pPr>
        <w:bidi w:val="0"/>
        <w:ind w:left="0" w:leftChars="0" w:right="0" w:rightChars="0" w:firstLine="0" w:firstLineChars="0"/>
        <w:jc w:val="center"/>
        <w:rPr>
          <w:rFonts w:ascii="Arial"/>
        </w:rPr>
      </w:pPr>
      <w:r>
        <w:rPr>
          <w:rFonts w:hint="eastAsia"/>
          <w:sz w:val="28"/>
          <w:szCs w:val="28"/>
        </w:rPr>
        <w:t>倾覆事故应急准备与响应预案</w:t>
      </w:r>
    </w:p>
    <w:p w14:paraId="7C2B414C">
      <w:pPr>
        <w:pStyle w:val="2"/>
        <w:bidi w:val="0"/>
      </w:pPr>
      <w:r>
        <w:t>组长：项目经理</w:t>
      </w:r>
    </w:p>
    <w:p w14:paraId="3B39393C">
      <w:pPr>
        <w:pStyle w:val="2"/>
        <w:bidi w:val="0"/>
      </w:pPr>
      <w:r>
        <w:t>组员：生产负责人、安全员、土建工长、水暖工长、电气工长、技术员，质检员、架子工长、外包队管理人员、后勤人员</w:t>
      </w:r>
    </w:p>
    <w:p w14:paraId="1A5AD948">
      <w:pPr>
        <w:pStyle w:val="2"/>
        <w:bidi w:val="0"/>
      </w:pPr>
      <w:r>
        <w:t>值班电话：</w:t>
      </w:r>
    </w:p>
    <w:p w14:paraId="4A59ABF0">
      <w:pPr>
        <w:pStyle w:val="2"/>
        <w:bidi w:val="0"/>
      </w:pPr>
      <w:r>
        <w:t>(2)倾覆事故应急处置领导小组负责对项目突发倾覆事故的应急处理。</w:t>
      </w:r>
    </w:p>
    <w:p w14:paraId="4C004B40">
      <w:pPr>
        <w:pStyle w:val="2"/>
        <w:bidi w:val="0"/>
      </w:pPr>
      <w:r>
        <w:t>2、培训和演练</w:t>
      </w:r>
    </w:p>
    <w:p w14:paraId="1FFF340E">
      <w:pPr>
        <w:pStyle w:val="2"/>
        <w:bidi w:val="0"/>
      </w:pPr>
      <w:r>
        <w:t>(1)项目部安全员负责主持、组织全机关每年进行一次按倾覆事故应急响应的要求进行模拟演练。各组员按其职责分工，协调配合完成</w:t>
      </w:r>
    </w:p>
    <w:p w14:paraId="3DDDD4F0">
      <w:pPr>
        <w:pStyle w:val="2"/>
        <w:bidi w:val="0"/>
      </w:pPr>
      <w:r>
        <w:t>演练。演练结束后由组长组织对应急响应的有效性进行评价，必要时对应急响应的要求进行调整或更新。演练、评价和更新的记录应予以保持。</w:t>
      </w:r>
    </w:p>
    <w:p w14:paraId="31381F58">
      <w:pPr>
        <w:pStyle w:val="2"/>
        <w:bidi w:val="0"/>
      </w:pPr>
      <w:r>
        <w:t>(2)施工管理部负责对相关人员每年进行一次培训。</w:t>
      </w:r>
    </w:p>
    <w:p w14:paraId="1F143DC2">
      <w:pPr>
        <w:pStyle w:val="2"/>
        <w:bidi w:val="0"/>
      </w:pPr>
      <w:r>
        <w:t>3、应急物资的准备、维护、保养</w:t>
      </w:r>
    </w:p>
    <w:p w14:paraId="668C4238">
      <w:pPr>
        <w:spacing w:line="268" w:lineRule="auto"/>
        <w:rPr>
          <w:rFonts w:ascii="Arial"/>
          <w:sz w:val="21"/>
        </w:rPr>
      </w:pPr>
    </w:p>
    <w:p w14:paraId="27F12E09">
      <w:pPr>
        <w:pStyle w:val="2"/>
        <w:bidi w:val="0"/>
      </w:pPr>
      <w:r>
        <w:t>(1)应急物资的准备：简易单架、跌达损伤药品、包扎纱布。</w:t>
      </w:r>
    </w:p>
    <w:p w14:paraId="66602635">
      <w:pPr>
        <w:pStyle w:val="2"/>
        <w:bidi w:val="0"/>
      </w:pPr>
      <w:r>
        <w:t>(2)各种应急物资要配备齐全并加强日常管理。</w:t>
      </w:r>
    </w:p>
    <w:p w14:paraId="4F15A744">
      <w:pPr>
        <w:pStyle w:val="2"/>
        <w:bidi w:val="0"/>
      </w:pPr>
      <w:r>
        <w:t>4、预防措施</w:t>
      </w:r>
    </w:p>
    <w:p w14:paraId="1D69EEBA">
      <w:pPr>
        <w:spacing w:line="347" w:lineRule="auto"/>
        <w:rPr>
          <w:rFonts w:ascii="Arial"/>
          <w:sz w:val="21"/>
        </w:rPr>
      </w:pPr>
    </w:p>
    <w:p w14:paraId="0336AE3D">
      <w:pPr>
        <w:pStyle w:val="2"/>
        <w:bidi w:val="0"/>
      </w:pPr>
      <w:r>
        <w:t>1)为防止事故发生，塔吊必须由具备资质的专业队伍安装，司机必须持证上岗，安装完毕后经技术监督局验收合格后方可投入使用。</w:t>
      </w:r>
    </w:p>
    <w:p w14:paraId="6B1ED3CB">
      <w:pPr>
        <w:pStyle w:val="2"/>
        <w:bidi w:val="0"/>
      </w:pPr>
      <w:r>
        <w:t>2)机手操作时，必须严格按操作规程操作，不准违章作作业，严格执行十不吊，操作前必须有安全技术交底记录，并履行签字于续。</w:t>
      </w:r>
    </w:p>
    <w:p w14:paraId="07A45AC7">
      <w:pPr>
        <w:pStyle w:val="2"/>
        <w:bidi w:val="0"/>
      </w:pPr>
      <w:r>
        <w:t>3)脚手架支搭必须先编好搭设方案，经有关技术人员审批后遵照执行。</w:t>
      </w:r>
    </w:p>
    <w:p w14:paraId="13C9EB91">
      <w:pPr>
        <w:spacing w:line="335" w:lineRule="auto"/>
        <w:rPr>
          <w:rFonts w:ascii="Arial"/>
          <w:sz w:val="21"/>
        </w:rPr>
      </w:pPr>
    </w:p>
    <w:p w14:paraId="7427D19A">
      <w:pPr>
        <w:pStyle w:val="2"/>
        <w:bidi w:val="0"/>
      </w:pPr>
      <w:r>
        <w:t>4)所有架子工必须持证上岗，工作时佩带好个人防护用品，支搭脚手架严格按方案施工，做好脚手架拉接点拉牢工作，防止架体倒塌。</w:t>
      </w:r>
    </w:p>
    <w:p w14:paraId="48B29E8F">
      <w:pPr>
        <w:pStyle w:val="2"/>
        <w:bidi w:val="0"/>
      </w:pPr>
      <w:r>
        <w:t>5)所有架体平台，架设好后，必须设各方；专业技术人员验收签字后，投入使用。</w:t>
      </w:r>
      <w:bookmarkStart w:id="0" w:name="_GoBack"/>
      <w:bookmarkEnd w:id="0"/>
    </w:p>
    <w:sectPr>
      <w:footerReference r:id="rId6" w:type="default"/>
      <w:pgSz w:w="11890" w:h="16830"/>
      <w:pgMar w:top="1430" w:right="1783" w:bottom="1040" w:left="1749" w:header="0" w:footer="75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1DE2D">
    <w:pPr>
      <w:pStyle w:val="2"/>
      <w:spacing w:before="1" w:line="211" w:lineRule="auto"/>
      <w:ind w:left="3410"/>
    </w:pPr>
    <w:r>
      <w:rPr>
        <w:spacing w:val="11"/>
      </w:rPr>
      <w:t>第1页共4</w:t>
    </w:r>
    <w:r>
      <w:rPr>
        <w:spacing w:val="107"/>
      </w:rPr>
      <w:t xml:space="preserve"> </w:t>
    </w:r>
    <w:r>
      <w:rPr>
        <w:spacing w:val="11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4664B">
    <w:pPr>
      <w:pStyle w:val="2"/>
      <w:spacing w:line="211" w:lineRule="auto"/>
      <w:ind w:left="3400"/>
      <w:rPr>
        <w:sz w:val="24"/>
        <w:szCs w:val="24"/>
      </w:rPr>
    </w:pPr>
    <w:r>
      <w:rPr>
        <w:spacing w:val="18"/>
        <w:sz w:val="24"/>
        <w:szCs w:val="24"/>
      </w:rPr>
      <w:t>第4页共4</w:t>
    </w:r>
    <w:r>
      <w:rPr>
        <w:spacing w:val="111"/>
        <w:sz w:val="24"/>
        <w:szCs w:val="24"/>
      </w:rPr>
      <w:t xml:space="preserve"> </w:t>
    </w:r>
    <w:r>
      <w:rPr>
        <w:spacing w:val="18"/>
        <w:sz w:val="24"/>
        <w:szCs w:val="24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A777A3B"/>
    <w:rsid w:val="19A92BD4"/>
    <w:rsid w:val="56693419"/>
    <w:rsid w:val="64C95F40"/>
    <w:rsid w:val="78E332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adjustRightInd/>
      <w:snapToGrid/>
      <w:spacing w:line="324" w:lineRule="auto"/>
      <w:ind w:firstLine="648" w:firstLineChars="200"/>
    </w:pPr>
    <w:rPr>
      <w:rFonts w:ascii="宋体" w:hAnsi="宋体" w:eastAsia="宋体" w:cs="宋体"/>
      <w:sz w:val="24"/>
      <w:szCs w:val="24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1478</Words>
  <Characters>1524</Characters>
  <TotalTime>1</TotalTime>
  <ScaleCrop>false</ScaleCrop>
  <LinksUpToDate>false</LinksUpToDate>
  <CharactersWithSpaces>1525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2025-09-10T20:57:00Z</dcterms:created>
  <dc:creator>Administrator</dc:creator>
  <cp:lastModifiedBy>WPS_1762435836</cp:lastModifiedBy>
  <dcterms:modified xsi:type="dcterms:W3CDTF">2026-01-12T01:16:48Z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2025-09-10T20:57:34Z</vt:filetime>
  </property>
  <property fmtid="{D5CDD505-2E9C-101B-9397-08002B2CF9AE}" pid="4" name="UsrData">
    <vt:lpwstr>68c175bc8e6006001fd83624wl</vt:lpwstr>
  </property>
  <property fmtid="{D5CDD505-2E9C-101B-9397-08002B2CF9AE}" pid="5" name="KSOTemplateDocerSaveRecord">
    <vt:lpwstr>eyJoZGlkIjoiNDdjZDYyODhmYjU0MWVmOGNkMzdhMTdkYzU4YTI1NDYiLCJ1c2VySWQiOiIxNzcwMTU1NjU5In0=</vt:lpwstr>
  </property>
  <property fmtid="{D5CDD505-2E9C-101B-9397-08002B2CF9AE}" pid="6" name="KSOProductBuildVer">
    <vt:lpwstr>2052-12.1.0.24034</vt:lpwstr>
  </property>
  <property fmtid="{D5CDD505-2E9C-101B-9397-08002B2CF9AE}" pid="7" name="ICV">
    <vt:lpwstr>72036943A790472CAC350B7847D4D14E_12</vt:lpwstr>
  </property>
</Properties>
</file>