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776B97">
      <w:pPr>
        <w:pStyle w:val="4"/>
        <w:bidi w:val="0"/>
        <w:rPr>
          <w:rFonts w:ascii="黑体" w:hAnsi="黑体" w:eastAsia="黑体" w:cs="黑体"/>
          <w:szCs w:val="28"/>
        </w:rPr>
      </w:pPr>
      <w:r>
        <w:t>1.2  电力电缆的故障分类及测试方法</w:t>
      </w:r>
    </w:p>
    <w:p w14:paraId="6FF7A11D">
      <w:pPr>
        <w:pStyle w:val="5"/>
        <w:bidi w:val="0"/>
        <w:rPr>
          <w:rFonts w:ascii="黑体" w:hAnsi="黑体" w:eastAsia="黑体" w:cs="黑体"/>
        </w:rPr>
      </w:pPr>
      <w:r>
        <w:t>1.2.1  电力电缆故障分类</w:t>
      </w:r>
    </w:p>
    <w:p w14:paraId="172E74C6">
      <w:pPr>
        <w:bidi w:val="0"/>
      </w:pPr>
      <w:r>
        <w:t>电力电缆经过长期运行后，产生电缆故障的原因是复杂多样的，按照常见的电缆故障性质可以分为以下几类:</w:t>
      </w:r>
    </w:p>
    <w:p w14:paraId="45840FDE">
      <w:pPr>
        <w:bidi w:val="0"/>
      </w:pPr>
      <w:r>
        <w:t>(1)按照故障位置分类：电缆本体故障和电缆接头故障。当电缆受到外界作用力破坏时，电缆本体故障发生的概率会比较高，而当故障电缆受到非外界作用力破坏时，故障往往会发生在电缆接头处。</w:t>
      </w:r>
    </w:p>
    <w:p w14:paraId="69B99ABA">
      <w:pPr>
        <w:bidi w:val="0"/>
      </w:pPr>
      <w:r>
        <w:t>(2)按照故障现象分类：封闭性故障和开放性故障。而当故障点确定时，开放性故障查找起来会比较容易。</w:t>
      </w:r>
    </w:p>
    <w:p w14:paraId="4386925A">
      <w:pPr>
        <w:bidi w:val="0"/>
      </w:pPr>
      <w:r>
        <w:t>(3)按照故障时间分类：运行故障和试验故障。运行故障是由于电缆运行时，因绝缘击穿或烧毁而使保护器动作导致停电的故障；试验故障是在进行预防试验时发生绝缘不良或绝缘击穿而必须进行停电检修的故障。</w:t>
      </w:r>
    </w:p>
    <w:p w14:paraId="7EEEA922">
      <w:pPr>
        <w:bidi w:val="0"/>
      </w:pPr>
      <w:r>
        <w:t>(4)按照接地现象分类：相间故障、断路故障、单相接地故障和多相接地故障等。</w:t>
      </w:r>
    </w:p>
    <w:p w14:paraId="2068D0D0">
      <w:pPr>
        <w:bidi w:val="0"/>
        <w:rPr>
          <w:rFonts w:hint="eastAsia"/>
        </w:rPr>
      </w:pPr>
      <w:r>
        <w:rPr>
          <w:rFonts w:hint="eastAsia"/>
        </w:rPr>
        <w:t>最常发生的故障一般是单相接地故障，多相接地故障主要也是由单相接地故障引发的，而相间故障和断路故障一般很少发生。</w:t>
      </w:r>
    </w:p>
    <w:p w14:paraId="143A0791">
      <w:pPr>
        <w:bidi w:val="0"/>
        <w:rPr>
          <w:rFonts w:hint="eastAsia"/>
        </w:rPr>
      </w:pPr>
      <w:r>
        <w:rPr>
          <w:rFonts w:hint="eastAsia"/>
        </w:rPr>
        <w:t>(5)按照绝缘电阻大小或线芯情况分类：短路(低阻)故障、开路故障、高阻故障和闪络性故障等。</w:t>
      </w:r>
    </w:p>
    <w:p w14:paraId="36E81B25">
      <w:pPr>
        <w:pStyle w:val="4"/>
        <w:bidi w:val="0"/>
        <w:rPr>
          <w:rFonts w:ascii="黑体" w:hAnsi="黑体" w:eastAsia="黑体" w:cs="黑体"/>
          <w:szCs w:val="25"/>
        </w:rPr>
      </w:pPr>
      <w:r>
        <w:t>1.2.2  故障性质诊断及测试方法</w:t>
      </w:r>
    </w:p>
    <w:p w14:paraId="4DD39294">
      <w:pPr>
        <w:bidi w:val="0"/>
      </w:pPr>
      <w:r>
        <w:t>电缆故障性质的诊断过程其实就是对电缆的绝缘电阻情况和线芯情况进行测试的过程。可以根据电力电缆绝缘电阻的不同或者线芯的多少来诊断其故障性质类型，然后选择合适的测试方法进行测距。</w:t>
      </w:r>
    </w:p>
    <w:p w14:paraId="4BCAB6CA">
      <w:pPr>
        <w:bidi w:val="0"/>
      </w:pPr>
      <w:r>
        <w:t>(1)短路(低阻)故障</w:t>
      </w:r>
    </w:p>
    <w:p w14:paraId="69A79A11">
      <w:pPr>
        <w:bidi w:val="0"/>
      </w:pPr>
      <w:r>
        <w:t>一般情况是指电缆单相或多相对地绝缘电阻或者不同线芯之间的绝缘电阻低于几百欧姆的故障。常见的有单相低阻接地、两相短路接地和三相短路接地等。与高阻故障的区别就是识别起来比较方便，用低压脉冲法即可检测出低阻反射波。如图1.2所示，当C相对地电阻RG=0时为短路故障，即为低阻故障。</w:t>
      </w:r>
    </w:p>
    <w:p w14:paraId="5EFC411C">
      <w:pPr>
        <w:bidi w:val="0"/>
        <w:rPr>
          <w:rFonts w:hint="eastAsia"/>
        </w:rPr>
      </w:pPr>
      <w:r>
        <w:rPr>
          <w:rFonts w:hint="eastAsia"/>
        </w:rPr>
        <w:t>(2)开路故障</w:t>
      </w:r>
    </w:p>
    <w:p w14:paraId="5F4A2695">
      <w:pPr>
        <w:bidi w:val="0"/>
        <w:rPr>
          <w:rFonts w:hint="eastAsia"/>
        </w:rPr>
      </w:pPr>
      <w:r>
        <w:rPr>
          <w:rFonts w:hint="eastAsia"/>
        </w:rPr>
        <w:t>在电缆各相绝缘都良好的情况下，电缆单相或多相导体开路或者金属护层断裂的故障，即终端无正常的工作电压，或者即使有电压，但带负载的能力也会很差。开路故障一般都伴随着电阻接地现象而存在，发生的概率较低。如图1.2所示，当A相RK=∞时为开路故障。</w:t>
      </w:r>
    </w:p>
    <w:p w14:paraId="05EFEC93">
      <w:pPr>
        <w:bidi w:val="0"/>
        <w:rPr>
          <w:rFonts w:hint="eastAsia"/>
        </w:rPr>
      </w:pPr>
      <w:r>
        <w:rPr>
          <w:rFonts w:hint="eastAsia"/>
        </w:rPr>
        <w:t>(3)高阻故障</w:t>
      </w:r>
    </w:p>
    <w:p w14:paraId="570D7B80">
      <w:pPr>
        <w:bidi w:val="0"/>
        <w:rPr>
          <w:rFonts w:hint="eastAsia"/>
        </w:rPr>
      </w:pPr>
      <w:r>
        <w:rPr>
          <w:rFonts w:hint="eastAsia"/>
        </w:rPr>
        <w:t>相对于低阻故障，这类故障发生的概率相对较高，占全部电缆故障的百分之八十左 右。一般情况是指电缆单相或多相对地绝缘电阻或者不同线芯之间绝缘电阻低于正常值但高于几百欧姆的故障。针对这类故障一般采用脉冲电流法或脉冲电压法进行检测。有 时会因故障点受潮或进水使其绝缘电阻高于几百欧姆，这时可以采用低压脉冲比较法进 行测距。</w:t>
      </w:r>
    </w:p>
    <w:p w14:paraId="58978C4D">
      <w:pPr>
        <w:bidi w:val="0"/>
        <w:rPr>
          <w:rFonts w:hint="eastAsia"/>
        </w:rPr>
      </w:pPr>
      <w:r>
        <w:rPr>
          <w:rFonts w:hint="eastAsia"/>
        </w:rPr>
        <w:t>(4)闪络性故障</w:t>
      </w:r>
    </w:p>
    <w:p w14:paraId="4BA70284">
      <w:pPr>
        <w:bidi w:val="0"/>
        <w:rPr>
          <w:rFonts w:hint="eastAsia"/>
        </w:rPr>
      </w:pPr>
      <w:r>
        <w:rPr>
          <w:rFonts w:hint="eastAsia"/>
        </w:rPr>
        <w:t>相对于高阻故障，电缆绝缘电阻阻值非常高，当进行电缆耐压试验时，电压超过某 一数值，就会造成绝缘击穿，称之为闪络性故障。这类故障是高阻故障的极端形式，并 不常见，偶尔会出现在预防性试验中，常用脉冲电流法或脉冲电压法中的冲闪方式进行 测距。但由于这类故障常常是封闭性的，故障查找起来会有一些困难。</w:t>
      </w:r>
    </w:p>
    <w:p w14:paraId="525E8352">
      <w:pPr>
        <w:bidi w:val="0"/>
        <w:rPr>
          <w:rFonts w:hint="eastAsia"/>
        </w:rPr>
      </w:pPr>
      <w:r>
        <w:rPr>
          <w:rFonts w:hint="eastAsia"/>
        </w:rPr>
        <w:t>(5)电缆主绝缘的特殊故障</w:t>
      </w:r>
    </w:p>
    <w:p w14:paraId="158CB4BD">
      <w:pPr>
        <w:bidi w:val="0"/>
        <w:rPr>
          <w:rFonts w:hint="eastAsia"/>
        </w:rPr>
      </w:pPr>
      <w:r>
        <w:rPr>
          <w:rFonts w:hint="eastAsia"/>
        </w:rPr>
        <w:t>这类故障常常发生在大范围进水而受潮的电缆、中间接头较多的低压电缆和因加工 不良或被烧焦而导致铜屏蔽层或电缆护层发生故障的电缆等。由于用脉冲法测试故障</w:t>
      </w:r>
    </w:p>
    <w:p w14:paraId="0331543B">
      <w:pPr>
        <w:bidi w:val="0"/>
        <w:rPr>
          <w:rFonts w:hint="eastAsia"/>
        </w:rPr>
      </w:pPr>
      <w:r>
        <w:rPr>
          <w:rFonts w:hint="eastAsia"/>
        </w:rPr>
        <w:t>时，会碰到没有反射脉冲波的故障，所以常采用电桥法测距。</w:t>
      </w:r>
    </w:p>
    <w:p w14:paraId="74A59112">
      <w:pPr>
        <w:bidi w:val="0"/>
        <w:rPr>
          <w:rFonts w:hint="eastAsia"/>
        </w:rPr>
      </w:pPr>
      <w:r>
        <w:rPr>
          <w:rFonts w:hint="eastAsia"/>
        </w:rPr>
        <w:t>(6)单芯高压电缆护层故障</w:t>
      </w:r>
    </w:p>
    <w:p w14:paraId="04019E01">
      <w:pPr>
        <w:bidi w:val="0"/>
        <w:rPr>
          <w:rFonts w:hint="eastAsia"/>
        </w:rPr>
      </w:pPr>
      <w:r>
        <w:rPr>
          <w:rFonts w:hint="eastAsia"/>
        </w:rPr>
        <w:t>这类故障是由于电缆金属护层与大地间的没用很好的绝缘引起的，它们二者之间除 了金属相外，就只有大地，而且大地的衰减系数非常大，要是使用脉冲法来测距，只会 影响测距效果，不会达到预期的标准，因而选取电桥法来测试这类故障。</w:t>
      </w:r>
    </w:p>
    <w:p w14:paraId="5F9C6104">
      <w:pPr>
        <w:bidi w:val="0"/>
        <w:rPr>
          <w:rFonts w:hint="eastAsia"/>
        </w:rPr>
      </w:pPr>
      <w:r>
        <w:rPr>
          <w:rFonts w:hint="eastAsia"/>
        </w:rPr>
        <w:t>综上所述，不同的故障性质类型所采用的测试方法也不近相同，如表1.1所示。</w:t>
      </w:r>
    </w:p>
    <w:p w14:paraId="3B5A99AD">
      <w:pPr>
        <w:bidi w:val="0"/>
        <w:ind w:left="0" w:leftChars="0" w:right="0" w:rightChars="0" w:firstLine="0" w:firstLineChars="0"/>
        <w:jc w:val="center"/>
        <w:rPr>
          <w:spacing w:val="-17"/>
        </w:rPr>
      </w:pPr>
      <w:r>
        <w:rPr>
          <w:spacing w:val="-17"/>
        </w:rPr>
        <w:t>表1.1  电缆故障分类及测试方法选择</w:t>
      </w:r>
    </w:p>
    <w:tbl>
      <w:tblPr>
        <w:tblStyle w:val="21"/>
        <w:tblW w:w="9420" w:type="dxa"/>
        <w:tblInd w:w="306"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095"/>
        <w:gridCol w:w="1960"/>
        <w:gridCol w:w="2055"/>
        <w:gridCol w:w="3310"/>
      </w:tblGrid>
      <w:tr w14:paraId="70F9698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44" w:hRule="atLeast"/>
        </w:trPr>
        <w:tc>
          <w:tcPr>
            <w:tcW w:w="2095" w:type="dxa"/>
            <w:tcBorders>
              <w:top w:val="single" w:color="auto" w:sz="4" w:space="0"/>
              <w:left w:val="single" w:color="auto" w:sz="4" w:space="0"/>
              <w:bottom w:val="single" w:color="auto" w:sz="4" w:space="0"/>
              <w:right w:val="single" w:color="auto" w:sz="4" w:space="0"/>
            </w:tcBorders>
            <w:vAlign w:val="center"/>
          </w:tcPr>
          <w:p w14:paraId="7C72E6ED">
            <w:pPr>
              <w:kinsoku w:val="0"/>
              <w:autoSpaceDE w:val="0"/>
              <w:autoSpaceDN w:val="0"/>
              <w:adjustRightInd w:val="0"/>
              <w:snapToGrid w:val="0"/>
              <w:spacing w:before="73" w:line="219" w:lineRule="auto"/>
              <w:ind w:left="0" w:leftChars="0" w:right="0" w:rightChars="0" w:firstLine="0" w:firstLineChars="0"/>
              <w:jc w:val="center"/>
              <w:textAlignment w:val="baseline"/>
              <w:rPr>
                <w:rFonts w:ascii="宋体" w:hAnsi="宋体" w:eastAsia="宋体" w:cs="宋体"/>
                <w:snapToGrid w:val="0"/>
                <w:color w:val="000000"/>
                <w:kern w:val="0"/>
                <w:sz w:val="21"/>
                <w:szCs w:val="21"/>
                <w:lang w:val="en-US" w:eastAsia="en-US" w:bidi="ar-SA"/>
              </w:rPr>
            </w:pPr>
            <w:r>
              <w:rPr>
                <w:rFonts w:ascii="宋体" w:hAnsi="宋体" w:eastAsia="宋体" w:cs="宋体"/>
                <w:snapToGrid w:val="0"/>
                <w:color w:val="000000"/>
                <w:spacing w:val="2"/>
                <w:kern w:val="0"/>
                <w:sz w:val="21"/>
                <w:szCs w:val="21"/>
                <w:lang w:val="en-US" w:eastAsia="en-US" w:bidi="ar-SA"/>
              </w:rPr>
              <w:t>故障性质类型</w:t>
            </w:r>
          </w:p>
        </w:tc>
        <w:tc>
          <w:tcPr>
            <w:tcW w:w="1960" w:type="dxa"/>
            <w:tcBorders>
              <w:top w:val="single" w:color="auto" w:sz="4" w:space="0"/>
              <w:left w:val="single" w:color="auto" w:sz="4" w:space="0"/>
              <w:bottom w:val="single" w:color="auto" w:sz="4" w:space="0"/>
              <w:right w:val="single" w:color="auto" w:sz="4" w:space="0"/>
            </w:tcBorders>
            <w:vAlign w:val="center"/>
          </w:tcPr>
          <w:p w14:paraId="5AB8EC83">
            <w:pPr>
              <w:kinsoku w:val="0"/>
              <w:autoSpaceDE w:val="0"/>
              <w:autoSpaceDN w:val="0"/>
              <w:adjustRightInd w:val="0"/>
              <w:snapToGrid w:val="0"/>
              <w:spacing w:before="73" w:line="219" w:lineRule="auto"/>
              <w:ind w:left="0" w:leftChars="0" w:right="0" w:rightChars="0" w:firstLine="0" w:firstLineChars="0"/>
              <w:jc w:val="center"/>
              <w:textAlignment w:val="baseline"/>
              <w:rPr>
                <w:rFonts w:ascii="宋体" w:hAnsi="宋体" w:eastAsia="宋体" w:cs="宋体"/>
                <w:snapToGrid w:val="0"/>
                <w:color w:val="000000"/>
                <w:kern w:val="0"/>
                <w:sz w:val="21"/>
                <w:szCs w:val="21"/>
                <w:lang w:val="en-US" w:eastAsia="en-US" w:bidi="ar-SA"/>
              </w:rPr>
            </w:pPr>
            <w:r>
              <w:rPr>
                <w:rFonts w:ascii="宋体" w:hAnsi="宋体" w:eastAsia="宋体" w:cs="宋体"/>
                <w:snapToGrid w:val="0"/>
                <w:color w:val="000000"/>
                <w:spacing w:val="2"/>
                <w:kern w:val="0"/>
                <w:sz w:val="21"/>
                <w:szCs w:val="21"/>
                <w:lang w:val="en-US" w:eastAsia="en-US" w:bidi="ar-SA"/>
              </w:rPr>
              <w:t>发生频率</w:t>
            </w:r>
          </w:p>
        </w:tc>
        <w:tc>
          <w:tcPr>
            <w:tcW w:w="2055" w:type="dxa"/>
            <w:tcBorders>
              <w:top w:val="single" w:color="auto" w:sz="4" w:space="0"/>
              <w:left w:val="single" w:color="auto" w:sz="4" w:space="0"/>
              <w:bottom w:val="single" w:color="auto" w:sz="4" w:space="0"/>
              <w:right w:val="single" w:color="auto" w:sz="4" w:space="0"/>
            </w:tcBorders>
            <w:vAlign w:val="center"/>
          </w:tcPr>
          <w:p w14:paraId="7D08D7EF">
            <w:pPr>
              <w:kinsoku w:val="0"/>
              <w:autoSpaceDE w:val="0"/>
              <w:autoSpaceDN w:val="0"/>
              <w:adjustRightInd w:val="0"/>
              <w:snapToGrid w:val="0"/>
              <w:spacing w:before="74" w:line="221" w:lineRule="auto"/>
              <w:ind w:left="0" w:leftChars="0" w:right="0" w:rightChars="0" w:firstLine="0" w:firstLineChars="0"/>
              <w:jc w:val="center"/>
              <w:textAlignment w:val="baseline"/>
              <w:rPr>
                <w:rFonts w:ascii="宋体" w:hAnsi="宋体" w:eastAsia="宋体" w:cs="宋体"/>
                <w:snapToGrid w:val="0"/>
                <w:color w:val="000000"/>
                <w:kern w:val="0"/>
                <w:sz w:val="21"/>
                <w:szCs w:val="21"/>
                <w:lang w:val="en-US" w:eastAsia="en-US" w:bidi="ar-SA"/>
              </w:rPr>
            </w:pPr>
            <w:r>
              <w:rPr>
                <w:rFonts w:ascii="宋体" w:hAnsi="宋体" w:eastAsia="宋体" w:cs="宋体"/>
                <w:snapToGrid w:val="0"/>
                <w:color w:val="000000"/>
                <w:spacing w:val="-2"/>
                <w:kern w:val="0"/>
                <w:sz w:val="21"/>
                <w:szCs w:val="21"/>
                <w:lang w:val="en-US" w:eastAsia="en-US" w:bidi="ar-SA"/>
              </w:rPr>
              <w:t>测试方法</w:t>
            </w:r>
          </w:p>
        </w:tc>
        <w:tc>
          <w:tcPr>
            <w:tcW w:w="3310" w:type="dxa"/>
            <w:tcBorders>
              <w:top w:val="single" w:color="auto" w:sz="4" w:space="0"/>
              <w:left w:val="single" w:color="auto" w:sz="4" w:space="0"/>
              <w:bottom w:val="single" w:color="auto" w:sz="4" w:space="0"/>
              <w:right w:val="single" w:color="auto" w:sz="4" w:space="0"/>
            </w:tcBorders>
            <w:vAlign w:val="center"/>
          </w:tcPr>
          <w:p w14:paraId="10CCF3B2">
            <w:pPr>
              <w:kinsoku w:val="0"/>
              <w:autoSpaceDE w:val="0"/>
              <w:autoSpaceDN w:val="0"/>
              <w:adjustRightInd w:val="0"/>
              <w:snapToGrid w:val="0"/>
              <w:spacing w:before="72" w:line="219" w:lineRule="auto"/>
              <w:ind w:left="0" w:leftChars="0" w:right="0" w:rightChars="0" w:firstLine="0" w:firstLineChars="0"/>
              <w:jc w:val="center"/>
              <w:textAlignment w:val="baseline"/>
              <w:rPr>
                <w:rFonts w:ascii="宋体" w:hAnsi="宋体" w:eastAsia="宋体" w:cs="宋体"/>
                <w:snapToGrid w:val="0"/>
                <w:color w:val="000000"/>
                <w:kern w:val="0"/>
                <w:sz w:val="21"/>
                <w:szCs w:val="21"/>
                <w:lang w:val="en-US" w:eastAsia="en-US" w:bidi="ar-SA"/>
              </w:rPr>
            </w:pPr>
            <w:r>
              <w:rPr>
                <w:rFonts w:ascii="宋体" w:hAnsi="宋体" w:eastAsia="宋体" w:cs="宋体"/>
                <w:snapToGrid w:val="0"/>
                <w:color w:val="000000"/>
                <w:spacing w:val="-2"/>
                <w:kern w:val="0"/>
                <w:sz w:val="21"/>
                <w:szCs w:val="21"/>
                <w:lang w:val="en-US" w:eastAsia="en-US" w:bidi="ar-SA"/>
              </w:rPr>
              <w:t>最佳定位方法</w:t>
            </w:r>
          </w:p>
        </w:tc>
      </w:tr>
      <w:tr w14:paraId="34998F5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60" w:hRule="atLeast"/>
        </w:trPr>
        <w:tc>
          <w:tcPr>
            <w:tcW w:w="2095" w:type="dxa"/>
            <w:tcBorders>
              <w:top w:val="single" w:color="auto" w:sz="4" w:space="0"/>
              <w:left w:val="single" w:color="auto" w:sz="4" w:space="0"/>
              <w:bottom w:val="single" w:color="auto" w:sz="4" w:space="0"/>
              <w:right w:val="single" w:color="auto" w:sz="4" w:space="0"/>
            </w:tcBorders>
            <w:vAlign w:val="center"/>
          </w:tcPr>
          <w:p w14:paraId="7FB3EC3B">
            <w:pPr>
              <w:kinsoku w:val="0"/>
              <w:autoSpaceDE w:val="0"/>
              <w:autoSpaceDN w:val="0"/>
              <w:adjustRightInd w:val="0"/>
              <w:snapToGrid w:val="0"/>
              <w:spacing w:before="219" w:line="219" w:lineRule="auto"/>
              <w:ind w:left="0" w:leftChars="0" w:right="0" w:rightChars="0" w:firstLine="0" w:firstLineChars="0"/>
              <w:jc w:val="center"/>
              <w:textAlignment w:val="baseline"/>
              <w:rPr>
                <w:rFonts w:ascii="宋体" w:hAnsi="宋体" w:eastAsia="宋体" w:cs="宋体"/>
                <w:snapToGrid w:val="0"/>
                <w:color w:val="000000"/>
                <w:kern w:val="0"/>
                <w:sz w:val="21"/>
                <w:szCs w:val="21"/>
                <w:lang w:val="en-US" w:eastAsia="en-US" w:bidi="ar-SA"/>
              </w:rPr>
            </w:pPr>
            <w:r>
              <w:rPr>
                <w:rFonts w:ascii="宋体" w:hAnsi="宋体" w:eastAsia="宋体" w:cs="宋体"/>
                <w:snapToGrid w:val="0"/>
                <w:color w:val="000000"/>
                <w:spacing w:val="-2"/>
                <w:kern w:val="0"/>
                <w:sz w:val="21"/>
                <w:szCs w:val="21"/>
                <w:lang w:val="en-US" w:eastAsia="en-US" w:bidi="ar-SA"/>
              </w:rPr>
              <w:t>短路(低阻)故障</w:t>
            </w:r>
          </w:p>
        </w:tc>
        <w:tc>
          <w:tcPr>
            <w:tcW w:w="1960" w:type="dxa"/>
            <w:tcBorders>
              <w:top w:val="single" w:color="auto" w:sz="4" w:space="0"/>
              <w:left w:val="single" w:color="auto" w:sz="4" w:space="0"/>
              <w:bottom w:val="single" w:color="auto" w:sz="4" w:space="0"/>
              <w:right w:val="single" w:color="auto" w:sz="4" w:space="0"/>
            </w:tcBorders>
            <w:vAlign w:val="center"/>
          </w:tcPr>
          <w:p w14:paraId="2CAAE455">
            <w:pPr>
              <w:kinsoku w:val="0"/>
              <w:autoSpaceDE w:val="0"/>
              <w:autoSpaceDN w:val="0"/>
              <w:adjustRightInd w:val="0"/>
              <w:snapToGrid w:val="0"/>
              <w:spacing w:before="219" w:line="219" w:lineRule="auto"/>
              <w:ind w:left="0" w:leftChars="0" w:right="0" w:rightChars="0" w:firstLine="0" w:firstLineChars="0"/>
              <w:jc w:val="center"/>
              <w:textAlignment w:val="baseline"/>
              <w:rPr>
                <w:rFonts w:ascii="宋体" w:hAnsi="宋体" w:eastAsia="宋体" w:cs="宋体"/>
                <w:snapToGrid w:val="0"/>
                <w:color w:val="000000"/>
                <w:kern w:val="0"/>
                <w:sz w:val="21"/>
                <w:szCs w:val="21"/>
                <w:lang w:val="en-US" w:eastAsia="en-US" w:bidi="ar-SA"/>
              </w:rPr>
            </w:pPr>
            <w:r>
              <w:rPr>
                <w:rFonts w:ascii="宋体" w:hAnsi="宋体" w:eastAsia="宋体" w:cs="宋体"/>
                <w:snapToGrid w:val="0"/>
                <w:color w:val="000000"/>
                <w:spacing w:val="2"/>
                <w:kern w:val="0"/>
                <w:sz w:val="21"/>
                <w:szCs w:val="21"/>
                <w:lang w:val="en-US" w:eastAsia="en-US" w:bidi="ar-SA"/>
              </w:rPr>
              <w:t>低压电缆发生较多</w:t>
            </w:r>
          </w:p>
        </w:tc>
        <w:tc>
          <w:tcPr>
            <w:tcW w:w="2055" w:type="dxa"/>
            <w:tcBorders>
              <w:top w:val="single" w:color="auto" w:sz="4" w:space="0"/>
              <w:left w:val="single" w:color="auto" w:sz="4" w:space="0"/>
              <w:bottom w:val="single" w:color="auto" w:sz="4" w:space="0"/>
              <w:right w:val="single" w:color="auto" w:sz="4" w:space="0"/>
            </w:tcBorders>
            <w:vAlign w:val="center"/>
          </w:tcPr>
          <w:p w14:paraId="4162C06D">
            <w:pPr>
              <w:kinsoku w:val="0"/>
              <w:autoSpaceDE w:val="0"/>
              <w:autoSpaceDN w:val="0"/>
              <w:adjustRightInd w:val="0"/>
              <w:snapToGrid w:val="0"/>
              <w:spacing w:before="60" w:line="259" w:lineRule="auto"/>
              <w:ind w:left="0" w:leftChars="0" w:right="0" w:rightChars="0" w:firstLine="0" w:firstLineChars="0"/>
              <w:jc w:val="center"/>
              <w:textAlignment w:val="baseline"/>
              <w:rPr>
                <w:rFonts w:ascii="宋体" w:hAnsi="宋体" w:eastAsia="宋体" w:cs="宋体"/>
                <w:snapToGrid w:val="0"/>
                <w:color w:val="000000"/>
                <w:kern w:val="0"/>
                <w:sz w:val="21"/>
                <w:szCs w:val="21"/>
                <w:lang w:val="en-US" w:eastAsia="en-US" w:bidi="ar-SA"/>
              </w:rPr>
            </w:pPr>
            <w:r>
              <w:rPr>
                <w:rFonts w:ascii="宋体" w:hAnsi="宋体" w:eastAsia="宋体" w:cs="宋体"/>
                <w:snapToGrid w:val="0"/>
                <w:color w:val="000000"/>
                <w:spacing w:val="-2"/>
                <w:kern w:val="0"/>
                <w:sz w:val="21"/>
                <w:szCs w:val="21"/>
                <w:lang w:val="en-US" w:eastAsia="en-US" w:bidi="ar-SA"/>
              </w:rPr>
              <w:t>脉冲电流法/低压脉</w:t>
            </w:r>
            <w:r>
              <w:rPr>
                <w:rFonts w:ascii="宋体" w:hAnsi="宋体" w:eastAsia="宋体" w:cs="宋体"/>
                <w:snapToGrid w:val="0"/>
                <w:color w:val="000000"/>
                <w:spacing w:val="-3"/>
                <w:kern w:val="0"/>
                <w:sz w:val="21"/>
                <w:szCs w:val="21"/>
                <w:lang w:val="en-US" w:eastAsia="en-US" w:bidi="ar-SA"/>
              </w:rPr>
              <w:t>冲法</w:t>
            </w:r>
          </w:p>
        </w:tc>
        <w:tc>
          <w:tcPr>
            <w:tcW w:w="3310" w:type="dxa"/>
            <w:tcBorders>
              <w:top w:val="single" w:color="auto" w:sz="4" w:space="0"/>
              <w:left w:val="single" w:color="auto" w:sz="4" w:space="0"/>
              <w:bottom w:val="single" w:color="auto" w:sz="4" w:space="0"/>
              <w:right w:val="single" w:color="auto" w:sz="4" w:space="0"/>
            </w:tcBorders>
            <w:vAlign w:val="center"/>
          </w:tcPr>
          <w:p w14:paraId="5F677AE0">
            <w:pPr>
              <w:kinsoku w:val="0"/>
              <w:autoSpaceDE w:val="0"/>
              <w:autoSpaceDN w:val="0"/>
              <w:adjustRightInd w:val="0"/>
              <w:snapToGrid w:val="0"/>
              <w:spacing w:before="58" w:line="260" w:lineRule="auto"/>
              <w:ind w:left="0" w:leftChars="0" w:right="0" w:rightChars="0" w:firstLine="0" w:firstLineChars="0"/>
              <w:jc w:val="center"/>
              <w:textAlignment w:val="baseline"/>
              <w:rPr>
                <w:rFonts w:ascii="宋体" w:hAnsi="宋体" w:eastAsia="宋体" w:cs="宋体"/>
                <w:snapToGrid w:val="0"/>
                <w:color w:val="000000"/>
                <w:kern w:val="0"/>
                <w:sz w:val="21"/>
                <w:szCs w:val="21"/>
                <w:lang w:val="en-US" w:eastAsia="en-US" w:bidi="ar-SA"/>
              </w:rPr>
            </w:pPr>
            <w:r>
              <w:rPr>
                <w:rFonts w:ascii="宋体" w:hAnsi="宋体" w:eastAsia="宋体" w:cs="宋体"/>
                <w:snapToGrid w:val="0"/>
                <w:color w:val="000000"/>
                <w:spacing w:val="-1"/>
                <w:kern w:val="0"/>
                <w:sz w:val="21"/>
                <w:szCs w:val="21"/>
                <w:lang w:val="en-US" w:eastAsia="en-US" w:bidi="ar-SA"/>
              </w:rPr>
              <w:t>声磁同步法/金属性短路故障音频</w:t>
            </w:r>
            <w:r>
              <w:rPr>
                <w:rFonts w:ascii="宋体" w:hAnsi="宋体" w:eastAsia="宋体" w:cs="宋体"/>
                <w:snapToGrid w:val="0"/>
                <w:color w:val="000000"/>
                <w:spacing w:val="-2"/>
                <w:kern w:val="0"/>
                <w:sz w:val="21"/>
                <w:szCs w:val="21"/>
                <w:lang w:val="en-US" w:eastAsia="en-US" w:bidi="ar-SA"/>
              </w:rPr>
              <w:t>信号感应法定位</w:t>
            </w:r>
          </w:p>
        </w:tc>
      </w:tr>
      <w:tr w14:paraId="31DD44D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78" w:hRule="atLeast"/>
        </w:trPr>
        <w:tc>
          <w:tcPr>
            <w:tcW w:w="2095" w:type="dxa"/>
            <w:tcBorders>
              <w:top w:val="single" w:color="auto" w:sz="4" w:space="0"/>
              <w:left w:val="single" w:color="auto" w:sz="4" w:space="0"/>
              <w:bottom w:val="single" w:color="auto" w:sz="4" w:space="0"/>
              <w:right w:val="single" w:color="auto" w:sz="4" w:space="0"/>
            </w:tcBorders>
            <w:vAlign w:val="center"/>
          </w:tcPr>
          <w:p w14:paraId="480B72C5">
            <w:pPr>
              <w:kinsoku w:val="0"/>
              <w:autoSpaceDE w:val="0"/>
              <w:autoSpaceDN w:val="0"/>
              <w:adjustRightInd w:val="0"/>
              <w:snapToGrid w:val="0"/>
              <w:spacing w:before="239" w:line="219" w:lineRule="auto"/>
              <w:ind w:left="0" w:leftChars="0" w:right="0" w:rightChars="0" w:firstLine="0" w:firstLineChars="0"/>
              <w:jc w:val="center"/>
              <w:textAlignment w:val="baseline"/>
              <w:rPr>
                <w:rFonts w:ascii="宋体" w:hAnsi="宋体" w:eastAsia="宋体" w:cs="宋体"/>
                <w:snapToGrid w:val="0"/>
                <w:color w:val="000000"/>
                <w:kern w:val="0"/>
                <w:sz w:val="21"/>
                <w:szCs w:val="21"/>
                <w:lang w:val="en-US" w:eastAsia="en-US" w:bidi="ar-SA"/>
              </w:rPr>
            </w:pPr>
            <w:r>
              <w:rPr>
                <w:rFonts w:ascii="宋体" w:hAnsi="宋体" w:eastAsia="宋体" w:cs="宋体"/>
                <w:snapToGrid w:val="0"/>
                <w:color w:val="000000"/>
                <w:spacing w:val="-2"/>
                <w:kern w:val="0"/>
                <w:sz w:val="21"/>
                <w:szCs w:val="21"/>
                <w:lang w:val="en-US" w:eastAsia="en-US" w:bidi="ar-SA"/>
              </w:rPr>
              <w:t>开路故障</w:t>
            </w:r>
          </w:p>
        </w:tc>
        <w:tc>
          <w:tcPr>
            <w:tcW w:w="1960" w:type="dxa"/>
            <w:tcBorders>
              <w:top w:val="single" w:color="auto" w:sz="4" w:space="0"/>
              <w:left w:val="single" w:color="auto" w:sz="4" w:space="0"/>
              <w:bottom w:val="single" w:color="auto" w:sz="4" w:space="0"/>
              <w:right w:val="single" w:color="auto" w:sz="4" w:space="0"/>
            </w:tcBorders>
            <w:vAlign w:val="center"/>
          </w:tcPr>
          <w:p w14:paraId="31EF7C5D">
            <w:pPr>
              <w:kinsoku w:val="0"/>
              <w:autoSpaceDE w:val="0"/>
              <w:autoSpaceDN w:val="0"/>
              <w:adjustRightInd w:val="0"/>
              <w:snapToGrid w:val="0"/>
              <w:spacing w:before="238" w:line="219" w:lineRule="auto"/>
              <w:ind w:left="0" w:leftChars="0" w:right="0" w:rightChars="0" w:firstLine="0" w:firstLineChars="0"/>
              <w:jc w:val="center"/>
              <w:textAlignment w:val="baseline"/>
              <w:rPr>
                <w:rFonts w:ascii="宋体" w:hAnsi="宋体" w:eastAsia="宋体" w:cs="宋体"/>
                <w:snapToGrid w:val="0"/>
                <w:color w:val="000000"/>
                <w:kern w:val="0"/>
                <w:sz w:val="21"/>
                <w:szCs w:val="21"/>
                <w:lang w:val="en-US" w:eastAsia="en-US" w:bidi="ar-SA"/>
              </w:rPr>
            </w:pPr>
            <w:r>
              <w:rPr>
                <w:rFonts w:ascii="宋体" w:hAnsi="宋体" w:eastAsia="宋体" w:cs="宋体"/>
                <w:snapToGrid w:val="0"/>
                <w:color w:val="000000"/>
                <w:spacing w:val="1"/>
                <w:kern w:val="0"/>
                <w:sz w:val="21"/>
                <w:szCs w:val="21"/>
                <w:lang w:val="en-US" w:eastAsia="en-US" w:bidi="ar-SA"/>
              </w:rPr>
              <w:t>几乎不发生</w:t>
            </w:r>
          </w:p>
        </w:tc>
        <w:tc>
          <w:tcPr>
            <w:tcW w:w="2055" w:type="dxa"/>
            <w:tcBorders>
              <w:top w:val="single" w:color="auto" w:sz="4" w:space="0"/>
              <w:left w:val="single" w:color="auto" w:sz="4" w:space="0"/>
              <w:bottom w:val="single" w:color="auto" w:sz="4" w:space="0"/>
              <w:right w:val="single" w:color="auto" w:sz="4" w:space="0"/>
            </w:tcBorders>
            <w:vAlign w:val="center"/>
          </w:tcPr>
          <w:p w14:paraId="1EE7F587">
            <w:pPr>
              <w:kinsoku w:val="0"/>
              <w:autoSpaceDE w:val="0"/>
              <w:autoSpaceDN w:val="0"/>
              <w:adjustRightInd w:val="0"/>
              <w:snapToGrid w:val="0"/>
              <w:spacing w:before="69" w:line="263" w:lineRule="auto"/>
              <w:ind w:left="0" w:leftChars="0" w:right="0" w:rightChars="0" w:firstLine="0" w:firstLineChars="0"/>
              <w:jc w:val="center"/>
              <w:textAlignment w:val="baseline"/>
              <w:rPr>
                <w:rFonts w:ascii="宋体" w:hAnsi="宋体" w:eastAsia="宋体" w:cs="宋体"/>
                <w:snapToGrid w:val="0"/>
                <w:color w:val="000000"/>
                <w:kern w:val="0"/>
                <w:sz w:val="21"/>
                <w:szCs w:val="21"/>
                <w:lang w:val="en-US" w:eastAsia="en-US" w:bidi="ar-SA"/>
              </w:rPr>
            </w:pPr>
            <w:r>
              <w:rPr>
                <w:rFonts w:ascii="宋体" w:hAnsi="宋体" w:eastAsia="宋体" w:cs="宋体"/>
                <w:snapToGrid w:val="0"/>
                <w:color w:val="000000"/>
                <w:kern w:val="0"/>
                <w:sz w:val="21"/>
                <w:szCs w:val="21"/>
                <w:lang w:val="en-US" w:eastAsia="en-US" w:bidi="ar-SA"/>
              </w:rPr>
              <w:t>闪络性故障测试法/</w:t>
            </w:r>
            <w:r>
              <w:rPr>
                <w:rFonts w:ascii="宋体" w:hAnsi="宋体" w:eastAsia="宋体" w:cs="宋体"/>
                <w:snapToGrid w:val="0"/>
                <w:color w:val="000000"/>
                <w:spacing w:val="-2"/>
                <w:kern w:val="0"/>
                <w:sz w:val="21"/>
                <w:szCs w:val="21"/>
                <w:lang w:val="en-US" w:eastAsia="en-US" w:bidi="ar-SA"/>
              </w:rPr>
              <w:t>低压脉冲法</w:t>
            </w:r>
          </w:p>
        </w:tc>
        <w:tc>
          <w:tcPr>
            <w:tcW w:w="3310" w:type="dxa"/>
            <w:tcBorders>
              <w:top w:val="single" w:color="auto" w:sz="4" w:space="0"/>
              <w:left w:val="single" w:color="auto" w:sz="4" w:space="0"/>
              <w:bottom w:val="single" w:color="auto" w:sz="4" w:space="0"/>
              <w:right w:val="single" w:color="auto" w:sz="4" w:space="0"/>
            </w:tcBorders>
            <w:vAlign w:val="center"/>
          </w:tcPr>
          <w:p w14:paraId="14193D70">
            <w:pPr>
              <w:kinsoku w:val="0"/>
              <w:autoSpaceDE w:val="0"/>
              <w:autoSpaceDN w:val="0"/>
              <w:adjustRightInd w:val="0"/>
              <w:snapToGrid w:val="0"/>
              <w:spacing w:before="239" w:line="219" w:lineRule="auto"/>
              <w:ind w:left="0" w:leftChars="0" w:right="0" w:rightChars="0" w:firstLine="0" w:firstLineChars="0"/>
              <w:jc w:val="center"/>
              <w:textAlignment w:val="baseline"/>
              <w:rPr>
                <w:rFonts w:ascii="宋体" w:hAnsi="宋体" w:eastAsia="宋体" w:cs="宋体"/>
                <w:snapToGrid w:val="0"/>
                <w:color w:val="000000"/>
                <w:kern w:val="0"/>
                <w:sz w:val="21"/>
                <w:szCs w:val="21"/>
                <w:lang w:val="en-US" w:eastAsia="en-US" w:bidi="ar-SA"/>
              </w:rPr>
            </w:pPr>
            <w:r>
              <w:rPr>
                <w:rFonts w:ascii="宋体" w:hAnsi="宋体" w:eastAsia="宋体" w:cs="宋体"/>
                <w:snapToGrid w:val="0"/>
                <w:color w:val="000000"/>
                <w:kern w:val="0"/>
                <w:sz w:val="21"/>
                <w:szCs w:val="21"/>
                <w:lang w:val="en-US" w:eastAsia="en-US" w:bidi="ar-SA"/>
              </w:rPr>
              <w:t>闪络性故障测试法定位</w:t>
            </w:r>
          </w:p>
        </w:tc>
      </w:tr>
      <w:tr w14:paraId="5D290A0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68" w:hRule="atLeast"/>
        </w:trPr>
        <w:tc>
          <w:tcPr>
            <w:tcW w:w="2095" w:type="dxa"/>
            <w:tcBorders>
              <w:top w:val="single" w:color="auto" w:sz="4" w:space="0"/>
              <w:left w:val="single" w:color="auto" w:sz="4" w:space="0"/>
              <w:bottom w:val="single" w:color="auto" w:sz="4" w:space="0"/>
              <w:right w:val="single" w:color="auto" w:sz="4" w:space="0"/>
            </w:tcBorders>
            <w:vAlign w:val="center"/>
          </w:tcPr>
          <w:p w14:paraId="2CC22AAE">
            <w:pPr>
              <w:kinsoku w:val="0"/>
              <w:autoSpaceDE w:val="0"/>
              <w:autoSpaceDN w:val="0"/>
              <w:adjustRightInd w:val="0"/>
              <w:snapToGrid w:val="0"/>
              <w:spacing w:before="241" w:line="219" w:lineRule="auto"/>
              <w:ind w:left="0" w:leftChars="0" w:right="0" w:rightChars="0" w:firstLine="0" w:firstLineChars="0"/>
              <w:jc w:val="center"/>
              <w:textAlignment w:val="baseline"/>
              <w:rPr>
                <w:rFonts w:ascii="宋体" w:hAnsi="宋体" w:eastAsia="宋体" w:cs="宋体"/>
                <w:snapToGrid w:val="0"/>
                <w:color w:val="000000"/>
                <w:kern w:val="0"/>
                <w:sz w:val="21"/>
                <w:szCs w:val="21"/>
                <w:lang w:val="en-US" w:eastAsia="en-US" w:bidi="ar-SA"/>
              </w:rPr>
            </w:pPr>
            <w:r>
              <w:rPr>
                <w:rFonts w:ascii="宋体" w:hAnsi="宋体" w:eastAsia="宋体" w:cs="宋体"/>
                <w:snapToGrid w:val="0"/>
                <w:color w:val="000000"/>
                <w:spacing w:val="2"/>
                <w:kern w:val="0"/>
                <w:sz w:val="21"/>
                <w:szCs w:val="21"/>
                <w:lang w:val="en-US" w:eastAsia="en-US" w:bidi="ar-SA"/>
              </w:rPr>
              <w:t>高阻故障</w:t>
            </w:r>
          </w:p>
        </w:tc>
        <w:tc>
          <w:tcPr>
            <w:tcW w:w="1960" w:type="dxa"/>
            <w:tcBorders>
              <w:top w:val="single" w:color="auto" w:sz="4" w:space="0"/>
              <w:left w:val="single" w:color="auto" w:sz="4" w:space="0"/>
              <w:bottom w:val="single" w:color="auto" w:sz="4" w:space="0"/>
              <w:right w:val="single" w:color="auto" w:sz="4" w:space="0"/>
            </w:tcBorders>
            <w:vAlign w:val="center"/>
          </w:tcPr>
          <w:p w14:paraId="5730C1E5">
            <w:pPr>
              <w:kinsoku w:val="0"/>
              <w:autoSpaceDE w:val="0"/>
              <w:autoSpaceDN w:val="0"/>
              <w:adjustRightInd w:val="0"/>
              <w:snapToGrid w:val="0"/>
              <w:spacing w:before="248" w:line="225" w:lineRule="auto"/>
              <w:ind w:left="0" w:leftChars="0" w:right="0" w:rightChars="0" w:firstLine="0" w:firstLineChars="0"/>
              <w:jc w:val="center"/>
              <w:textAlignment w:val="baseline"/>
              <w:rPr>
                <w:rFonts w:ascii="宋体" w:hAnsi="宋体" w:eastAsia="宋体" w:cs="宋体"/>
                <w:snapToGrid w:val="0"/>
                <w:color w:val="000000"/>
                <w:kern w:val="0"/>
                <w:sz w:val="21"/>
                <w:szCs w:val="21"/>
                <w:lang w:val="en-US" w:eastAsia="en-US" w:bidi="ar-SA"/>
              </w:rPr>
            </w:pPr>
            <w:r>
              <w:rPr>
                <w:rFonts w:ascii="宋体" w:hAnsi="宋体" w:eastAsia="宋体" w:cs="宋体"/>
                <w:snapToGrid w:val="0"/>
                <w:color w:val="000000"/>
                <w:spacing w:val="3"/>
                <w:kern w:val="0"/>
                <w:sz w:val="21"/>
                <w:szCs w:val="21"/>
                <w:lang w:val="en-US" w:eastAsia="en-US" w:bidi="ar-SA"/>
              </w:rPr>
              <w:t>80%左右</w:t>
            </w:r>
          </w:p>
        </w:tc>
        <w:tc>
          <w:tcPr>
            <w:tcW w:w="2055" w:type="dxa"/>
            <w:tcBorders>
              <w:top w:val="single" w:color="auto" w:sz="4" w:space="0"/>
              <w:left w:val="single" w:color="auto" w:sz="4" w:space="0"/>
              <w:bottom w:val="single" w:color="auto" w:sz="4" w:space="0"/>
              <w:right w:val="single" w:color="auto" w:sz="4" w:space="0"/>
            </w:tcBorders>
            <w:vAlign w:val="center"/>
          </w:tcPr>
          <w:p w14:paraId="2421EC4B">
            <w:pPr>
              <w:kinsoku w:val="0"/>
              <w:autoSpaceDE w:val="0"/>
              <w:autoSpaceDN w:val="0"/>
              <w:adjustRightInd w:val="0"/>
              <w:snapToGrid w:val="0"/>
              <w:spacing w:before="71" w:line="258" w:lineRule="auto"/>
              <w:ind w:left="0" w:leftChars="0" w:right="0" w:rightChars="0" w:firstLine="0" w:firstLineChars="0"/>
              <w:jc w:val="center"/>
              <w:textAlignment w:val="baseline"/>
              <w:rPr>
                <w:rFonts w:ascii="宋体" w:hAnsi="宋体" w:eastAsia="宋体" w:cs="宋体"/>
                <w:snapToGrid w:val="0"/>
                <w:color w:val="000000"/>
                <w:kern w:val="0"/>
                <w:sz w:val="21"/>
                <w:szCs w:val="21"/>
                <w:lang w:val="en-US" w:eastAsia="en-US" w:bidi="ar-SA"/>
              </w:rPr>
            </w:pPr>
            <w:r>
              <w:rPr>
                <w:rFonts w:ascii="宋体" w:hAnsi="宋体" w:eastAsia="宋体" w:cs="宋体"/>
                <w:snapToGrid w:val="0"/>
                <w:color w:val="000000"/>
                <w:spacing w:val="-2"/>
                <w:kern w:val="0"/>
                <w:sz w:val="21"/>
                <w:szCs w:val="21"/>
                <w:lang w:val="en-US" w:eastAsia="en-US" w:bidi="ar-SA"/>
              </w:rPr>
              <w:t>脉冲电流法/二次脉</w:t>
            </w:r>
            <w:r>
              <w:rPr>
                <w:rFonts w:ascii="宋体" w:hAnsi="宋体" w:eastAsia="宋体" w:cs="宋体"/>
                <w:snapToGrid w:val="0"/>
                <w:color w:val="000000"/>
                <w:spacing w:val="-3"/>
                <w:kern w:val="0"/>
                <w:sz w:val="21"/>
                <w:szCs w:val="21"/>
                <w:lang w:val="en-US" w:eastAsia="en-US" w:bidi="ar-SA"/>
              </w:rPr>
              <w:t>冲法</w:t>
            </w:r>
          </w:p>
        </w:tc>
        <w:tc>
          <w:tcPr>
            <w:tcW w:w="3310" w:type="dxa"/>
            <w:tcBorders>
              <w:top w:val="single" w:color="auto" w:sz="4" w:space="0"/>
              <w:left w:val="single" w:color="auto" w:sz="4" w:space="0"/>
              <w:bottom w:val="single" w:color="auto" w:sz="4" w:space="0"/>
              <w:right w:val="single" w:color="auto" w:sz="4" w:space="0"/>
            </w:tcBorders>
            <w:vAlign w:val="center"/>
          </w:tcPr>
          <w:p w14:paraId="79F64B8B">
            <w:pPr>
              <w:kinsoku w:val="0"/>
              <w:autoSpaceDE w:val="0"/>
              <w:autoSpaceDN w:val="0"/>
              <w:adjustRightInd w:val="0"/>
              <w:snapToGrid w:val="0"/>
              <w:spacing w:before="241" w:line="219" w:lineRule="auto"/>
              <w:ind w:left="0" w:leftChars="0" w:right="0" w:rightChars="0" w:firstLine="0" w:firstLineChars="0"/>
              <w:jc w:val="center"/>
              <w:textAlignment w:val="baseline"/>
              <w:rPr>
                <w:rFonts w:ascii="宋体" w:hAnsi="宋体" w:eastAsia="宋体" w:cs="宋体"/>
                <w:snapToGrid w:val="0"/>
                <w:color w:val="000000"/>
                <w:kern w:val="0"/>
                <w:sz w:val="21"/>
                <w:szCs w:val="21"/>
                <w:lang w:val="en-US" w:eastAsia="en-US" w:bidi="ar-SA"/>
              </w:rPr>
            </w:pPr>
            <w:r>
              <w:rPr>
                <w:rFonts w:ascii="宋体" w:hAnsi="宋体" w:eastAsia="宋体" w:cs="宋体"/>
                <w:snapToGrid w:val="0"/>
                <w:color w:val="000000"/>
                <w:spacing w:val="1"/>
                <w:kern w:val="0"/>
                <w:sz w:val="21"/>
                <w:szCs w:val="21"/>
                <w:lang w:val="en-US" w:eastAsia="en-US" w:bidi="ar-SA"/>
              </w:rPr>
              <w:t>声磁同步法定位</w:t>
            </w:r>
          </w:p>
        </w:tc>
      </w:tr>
      <w:tr w14:paraId="27E370B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03" w:hRule="atLeast"/>
        </w:trPr>
        <w:tc>
          <w:tcPr>
            <w:tcW w:w="2095" w:type="dxa"/>
            <w:tcBorders>
              <w:top w:val="single" w:color="auto" w:sz="4" w:space="0"/>
              <w:left w:val="single" w:color="auto" w:sz="4" w:space="0"/>
              <w:bottom w:val="single" w:color="auto" w:sz="4" w:space="0"/>
              <w:right w:val="single" w:color="auto" w:sz="4" w:space="0"/>
            </w:tcBorders>
            <w:vAlign w:val="center"/>
          </w:tcPr>
          <w:p w14:paraId="38AE68A4">
            <w:pPr>
              <w:kinsoku w:val="0"/>
              <w:autoSpaceDE w:val="0"/>
              <w:autoSpaceDN w:val="0"/>
              <w:adjustRightInd w:val="0"/>
              <w:snapToGrid w:val="0"/>
              <w:spacing w:before="243" w:line="219" w:lineRule="auto"/>
              <w:ind w:left="0" w:leftChars="0" w:right="0" w:rightChars="0" w:firstLine="0" w:firstLineChars="0"/>
              <w:jc w:val="center"/>
              <w:textAlignment w:val="baseline"/>
              <w:rPr>
                <w:rFonts w:ascii="宋体" w:hAnsi="宋体" w:eastAsia="宋体" w:cs="宋体"/>
                <w:snapToGrid w:val="0"/>
                <w:color w:val="000000"/>
                <w:kern w:val="0"/>
                <w:sz w:val="21"/>
                <w:szCs w:val="21"/>
                <w:lang w:val="en-US" w:eastAsia="en-US" w:bidi="ar-SA"/>
              </w:rPr>
            </w:pPr>
            <w:r>
              <w:rPr>
                <w:rFonts w:ascii="宋体" w:hAnsi="宋体" w:eastAsia="宋体" w:cs="宋体"/>
                <w:snapToGrid w:val="0"/>
                <w:color w:val="000000"/>
                <w:spacing w:val="1"/>
                <w:kern w:val="0"/>
                <w:sz w:val="21"/>
                <w:szCs w:val="21"/>
                <w:lang w:val="en-US" w:eastAsia="en-US" w:bidi="ar-SA"/>
              </w:rPr>
              <w:t>闪络性故障</w:t>
            </w:r>
          </w:p>
        </w:tc>
        <w:tc>
          <w:tcPr>
            <w:tcW w:w="1960" w:type="dxa"/>
            <w:tcBorders>
              <w:top w:val="single" w:color="auto" w:sz="4" w:space="0"/>
              <w:left w:val="single" w:color="auto" w:sz="4" w:space="0"/>
              <w:bottom w:val="single" w:color="auto" w:sz="4" w:space="0"/>
              <w:right w:val="single" w:color="auto" w:sz="4" w:space="0"/>
            </w:tcBorders>
            <w:vAlign w:val="center"/>
          </w:tcPr>
          <w:p w14:paraId="54B0AB2D">
            <w:pPr>
              <w:kinsoku w:val="0"/>
              <w:autoSpaceDE w:val="0"/>
              <w:autoSpaceDN w:val="0"/>
              <w:adjustRightInd w:val="0"/>
              <w:snapToGrid w:val="0"/>
              <w:spacing w:before="244" w:line="220" w:lineRule="auto"/>
              <w:ind w:left="0" w:leftChars="0" w:right="0" w:rightChars="0" w:firstLine="0" w:firstLineChars="0"/>
              <w:jc w:val="center"/>
              <w:textAlignment w:val="baseline"/>
              <w:rPr>
                <w:rFonts w:ascii="宋体" w:hAnsi="宋体" w:eastAsia="宋体" w:cs="宋体"/>
                <w:snapToGrid w:val="0"/>
                <w:color w:val="000000"/>
                <w:kern w:val="0"/>
                <w:sz w:val="21"/>
                <w:szCs w:val="21"/>
                <w:lang w:val="en-US" w:eastAsia="en-US" w:bidi="ar-SA"/>
              </w:rPr>
            </w:pPr>
            <w:r>
              <w:rPr>
                <w:rFonts w:ascii="宋体" w:hAnsi="宋体" w:eastAsia="宋体" w:cs="宋体"/>
                <w:snapToGrid w:val="0"/>
                <w:color w:val="000000"/>
                <w:spacing w:val="-2"/>
                <w:kern w:val="0"/>
                <w:sz w:val="21"/>
                <w:szCs w:val="21"/>
                <w:lang w:val="en-US" w:eastAsia="en-US" w:bidi="ar-SA"/>
              </w:rPr>
              <w:t>很少发生</w:t>
            </w:r>
          </w:p>
        </w:tc>
        <w:tc>
          <w:tcPr>
            <w:tcW w:w="2055" w:type="dxa"/>
            <w:tcBorders>
              <w:top w:val="single" w:color="auto" w:sz="4" w:space="0"/>
              <w:left w:val="single" w:color="auto" w:sz="4" w:space="0"/>
              <w:bottom w:val="single" w:color="auto" w:sz="4" w:space="0"/>
              <w:right w:val="single" w:color="auto" w:sz="4" w:space="0"/>
            </w:tcBorders>
            <w:vAlign w:val="center"/>
          </w:tcPr>
          <w:p w14:paraId="62544C53">
            <w:pPr>
              <w:kinsoku w:val="0"/>
              <w:autoSpaceDE w:val="0"/>
              <w:autoSpaceDN w:val="0"/>
              <w:adjustRightInd w:val="0"/>
              <w:snapToGrid w:val="0"/>
              <w:spacing w:before="83" w:line="268" w:lineRule="auto"/>
              <w:ind w:left="0" w:leftChars="0" w:right="0" w:rightChars="0" w:firstLine="0" w:firstLineChars="0"/>
              <w:jc w:val="center"/>
              <w:textAlignment w:val="baseline"/>
              <w:rPr>
                <w:rFonts w:ascii="宋体" w:hAnsi="宋体" w:eastAsia="宋体" w:cs="宋体"/>
                <w:snapToGrid w:val="0"/>
                <w:color w:val="000000"/>
                <w:kern w:val="0"/>
                <w:sz w:val="21"/>
                <w:szCs w:val="21"/>
                <w:lang w:val="en-US" w:eastAsia="en-US" w:bidi="ar-SA"/>
              </w:rPr>
            </w:pPr>
            <w:r>
              <w:rPr>
                <w:rFonts w:ascii="宋体" w:hAnsi="宋体" w:eastAsia="宋体" w:cs="宋体"/>
                <w:snapToGrid w:val="0"/>
                <w:color w:val="000000"/>
                <w:spacing w:val="-2"/>
                <w:kern w:val="0"/>
                <w:sz w:val="21"/>
                <w:szCs w:val="21"/>
                <w:lang w:val="en-US" w:eastAsia="en-US" w:bidi="ar-SA"/>
              </w:rPr>
              <w:t>脉冲电流法/二次脉</w:t>
            </w:r>
            <w:r>
              <w:rPr>
                <w:rFonts w:ascii="宋体" w:hAnsi="宋体" w:eastAsia="宋体" w:cs="宋体"/>
                <w:snapToGrid w:val="0"/>
                <w:color w:val="000000"/>
                <w:spacing w:val="-3"/>
                <w:kern w:val="0"/>
                <w:sz w:val="21"/>
                <w:szCs w:val="21"/>
                <w:lang w:val="en-US" w:eastAsia="en-US" w:bidi="ar-SA"/>
              </w:rPr>
              <w:t>冲法</w:t>
            </w:r>
          </w:p>
        </w:tc>
        <w:tc>
          <w:tcPr>
            <w:tcW w:w="3310" w:type="dxa"/>
            <w:tcBorders>
              <w:top w:val="single" w:color="auto" w:sz="4" w:space="0"/>
              <w:left w:val="single" w:color="auto" w:sz="4" w:space="0"/>
              <w:bottom w:val="single" w:color="auto" w:sz="4" w:space="0"/>
              <w:right w:val="single" w:color="auto" w:sz="4" w:space="0"/>
            </w:tcBorders>
            <w:vAlign w:val="center"/>
          </w:tcPr>
          <w:p w14:paraId="0E4B4670">
            <w:pPr>
              <w:kinsoku w:val="0"/>
              <w:autoSpaceDE w:val="0"/>
              <w:autoSpaceDN w:val="0"/>
              <w:adjustRightInd w:val="0"/>
              <w:snapToGrid w:val="0"/>
              <w:spacing w:before="243" w:line="219" w:lineRule="auto"/>
              <w:ind w:left="0" w:leftChars="0" w:right="0" w:rightChars="0" w:firstLine="0" w:firstLineChars="0"/>
              <w:jc w:val="center"/>
              <w:textAlignment w:val="baseline"/>
              <w:rPr>
                <w:rFonts w:ascii="宋体" w:hAnsi="宋体" w:eastAsia="宋体" w:cs="宋体"/>
                <w:snapToGrid w:val="0"/>
                <w:color w:val="000000"/>
                <w:kern w:val="0"/>
                <w:sz w:val="21"/>
                <w:szCs w:val="21"/>
                <w:lang w:val="en-US" w:eastAsia="en-US" w:bidi="ar-SA"/>
              </w:rPr>
            </w:pPr>
            <w:r>
              <w:rPr>
                <w:rFonts w:ascii="宋体" w:hAnsi="宋体" w:eastAsia="宋体" w:cs="宋体"/>
                <w:snapToGrid w:val="0"/>
                <w:color w:val="000000"/>
                <w:spacing w:val="1"/>
                <w:kern w:val="0"/>
                <w:sz w:val="21"/>
                <w:szCs w:val="21"/>
                <w:lang w:val="en-US" w:eastAsia="en-US" w:bidi="ar-SA"/>
              </w:rPr>
              <w:t>声磁同步法定位</w:t>
            </w:r>
          </w:p>
        </w:tc>
      </w:tr>
      <w:tr w14:paraId="0AF02E1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056" w:hRule="atLeast"/>
        </w:trPr>
        <w:tc>
          <w:tcPr>
            <w:tcW w:w="2095" w:type="dxa"/>
            <w:tcBorders>
              <w:top w:val="single" w:color="auto" w:sz="4" w:space="0"/>
              <w:left w:val="single" w:color="auto" w:sz="4" w:space="0"/>
              <w:bottom w:val="single" w:color="auto" w:sz="4" w:space="0"/>
              <w:right w:val="single" w:color="auto" w:sz="4" w:space="0"/>
            </w:tcBorders>
            <w:vAlign w:val="center"/>
          </w:tcPr>
          <w:p w14:paraId="2B30EE4F">
            <w:pPr>
              <w:kinsoku w:val="0"/>
              <w:autoSpaceDE w:val="0"/>
              <w:autoSpaceDN w:val="0"/>
              <w:adjustRightInd w:val="0"/>
              <w:snapToGrid w:val="0"/>
              <w:spacing w:before="80" w:line="219" w:lineRule="auto"/>
              <w:ind w:left="0" w:leftChars="0" w:right="0" w:rightChars="0" w:firstLine="0" w:firstLineChars="0"/>
              <w:jc w:val="center"/>
              <w:textAlignment w:val="baseline"/>
              <w:rPr>
                <w:rFonts w:ascii="宋体" w:hAnsi="宋体" w:eastAsia="宋体" w:cs="宋体"/>
                <w:snapToGrid w:val="0"/>
                <w:color w:val="000000"/>
                <w:kern w:val="0"/>
                <w:sz w:val="21"/>
                <w:szCs w:val="21"/>
                <w:lang w:val="en-US" w:eastAsia="en-US" w:bidi="ar-SA"/>
              </w:rPr>
            </w:pPr>
            <w:r>
              <w:rPr>
                <w:rFonts w:ascii="宋体" w:hAnsi="宋体" w:eastAsia="宋体" w:cs="宋体"/>
                <w:snapToGrid w:val="0"/>
                <w:color w:val="000000"/>
                <w:spacing w:val="2"/>
                <w:kern w:val="0"/>
                <w:sz w:val="21"/>
                <w:szCs w:val="21"/>
                <w:lang w:val="en-US" w:eastAsia="en-US" w:bidi="ar-SA"/>
              </w:rPr>
              <w:t>电缆主绝缘的特殊故障和单芯高压电</w:t>
            </w:r>
            <w:r>
              <w:rPr>
                <w:rFonts w:ascii="宋体" w:hAnsi="宋体" w:eastAsia="宋体" w:cs="宋体"/>
                <w:snapToGrid w:val="0"/>
                <w:color w:val="000000"/>
                <w:spacing w:val="-2"/>
                <w:kern w:val="0"/>
                <w:sz w:val="21"/>
                <w:szCs w:val="21"/>
                <w:lang w:val="en-US" w:eastAsia="en-US" w:bidi="ar-SA"/>
              </w:rPr>
              <w:t>缆护层故障</w:t>
            </w:r>
          </w:p>
        </w:tc>
        <w:tc>
          <w:tcPr>
            <w:tcW w:w="1960" w:type="dxa"/>
            <w:tcBorders>
              <w:top w:val="single" w:color="auto" w:sz="4" w:space="0"/>
              <w:left w:val="single" w:color="auto" w:sz="4" w:space="0"/>
              <w:bottom w:val="single" w:color="auto" w:sz="4" w:space="0"/>
              <w:right w:val="single" w:color="auto" w:sz="4" w:space="0"/>
            </w:tcBorders>
            <w:vAlign w:val="center"/>
          </w:tcPr>
          <w:p w14:paraId="7B2CC5A8">
            <w:pPr>
              <w:kinsoku w:val="0"/>
              <w:autoSpaceDE w:val="0"/>
              <w:autoSpaceDN w:val="0"/>
              <w:adjustRightInd w:val="0"/>
              <w:snapToGrid w:val="0"/>
              <w:spacing w:before="77" w:line="220" w:lineRule="auto"/>
              <w:ind w:left="0" w:leftChars="0" w:right="0" w:rightChars="0" w:firstLine="0" w:firstLineChars="0"/>
              <w:jc w:val="center"/>
              <w:textAlignment w:val="baseline"/>
              <w:rPr>
                <w:rFonts w:ascii="宋体" w:hAnsi="宋体" w:eastAsia="宋体" w:cs="宋体"/>
                <w:snapToGrid w:val="0"/>
                <w:color w:val="000000"/>
                <w:kern w:val="0"/>
                <w:sz w:val="21"/>
                <w:szCs w:val="21"/>
                <w:lang w:val="en-US" w:eastAsia="en-US" w:bidi="ar-SA"/>
              </w:rPr>
            </w:pPr>
            <w:r>
              <w:rPr>
                <w:rFonts w:ascii="宋体" w:hAnsi="宋体" w:eastAsia="宋体" w:cs="宋体"/>
                <w:snapToGrid w:val="0"/>
                <w:color w:val="000000"/>
                <w:spacing w:val="-2"/>
                <w:kern w:val="0"/>
                <w:sz w:val="21"/>
                <w:szCs w:val="21"/>
                <w:lang w:val="en-US" w:eastAsia="en-US" w:bidi="ar-SA"/>
              </w:rPr>
              <w:t>很少发生</w:t>
            </w:r>
          </w:p>
        </w:tc>
        <w:tc>
          <w:tcPr>
            <w:tcW w:w="2055" w:type="dxa"/>
            <w:tcBorders>
              <w:top w:val="single" w:color="auto" w:sz="4" w:space="0"/>
              <w:left w:val="single" w:color="auto" w:sz="4" w:space="0"/>
              <w:bottom w:val="single" w:color="auto" w:sz="4" w:space="0"/>
              <w:right w:val="single" w:color="auto" w:sz="4" w:space="0"/>
            </w:tcBorders>
            <w:vAlign w:val="center"/>
          </w:tcPr>
          <w:p w14:paraId="08B9839A">
            <w:pPr>
              <w:kinsoku w:val="0"/>
              <w:autoSpaceDE w:val="0"/>
              <w:autoSpaceDN w:val="0"/>
              <w:adjustRightInd w:val="0"/>
              <w:snapToGrid w:val="0"/>
              <w:spacing w:before="77" w:line="220" w:lineRule="auto"/>
              <w:ind w:left="0" w:leftChars="0" w:right="0" w:rightChars="0" w:firstLine="0" w:firstLineChars="0"/>
              <w:jc w:val="center"/>
              <w:textAlignment w:val="baseline"/>
              <w:rPr>
                <w:rFonts w:ascii="宋体" w:hAnsi="宋体" w:eastAsia="宋体" w:cs="宋体"/>
                <w:snapToGrid w:val="0"/>
                <w:color w:val="000000"/>
                <w:kern w:val="0"/>
                <w:sz w:val="21"/>
                <w:szCs w:val="21"/>
                <w:lang w:val="en-US" w:eastAsia="en-US" w:bidi="ar-SA"/>
              </w:rPr>
            </w:pPr>
            <w:r>
              <w:rPr>
                <w:rFonts w:ascii="宋体" w:hAnsi="宋体" w:eastAsia="宋体" w:cs="宋体"/>
                <w:snapToGrid w:val="0"/>
                <w:color w:val="000000"/>
                <w:spacing w:val="2"/>
                <w:kern w:val="0"/>
                <w:sz w:val="21"/>
                <w:szCs w:val="21"/>
                <w:lang w:val="en-US" w:eastAsia="en-US" w:bidi="ar-SA"/>
              </w:rPr>
              <w:t>电桥法</w:t>
            </w:r>
          </w:p>
        </w:tc>
        <w:tc>
          <w:tcPr>
            <w:tcW w:w="3310" w:type="dxa"/>
            <w:tcBorders>
              <w:top w:val="single" w:color="auto" w:sz="4" w:space="0"/>
              <w:left w:val="single" w:color="auto" w:sz="4" w:space="0"/>
              <w:bottom w:val="single" w:color="auto" w:sz="4" w:space="0"/>
              <w:right w:val="single" w:color="auto" w:sz="4" w:space="0"/>
            </w:tcBorders>
            <w:vAlign w:val="center"/>
          </w:tcPr>
          <w:p w14:paraId="33A80215">
            <w:pPr>
              <w:kinsoku w:val="0"/>
              <w:autoSpaceDE w:val="0"/>
              <w:autoSpaceDN w:val="0"/>
              <w:adjustRightInd w:val="0"/>
              <w:snapToGrid w:val="0"/>
              <w:spacing w:before="76" w:line="219" w:lineRule="auto"/>
              <w:ind w:left="0" w:leftChars="0" w:right="0" w:rightChars="0" w:firstLine="0" w:firstLineChars="0"/>
              <w:jc w:val="center"/>
              <w:textAlignment w:val="baseline"/>
              <w:rPr>
                <w:rFonts w:ascii="宋体" w:hAnsi="宋体" w:eastAsia="宋体" w:cs="宋体"/>
                <w:snapToGrid w:val="0"/>
                <w:color w:val="000000"/>
                <w:kern w:val="0"/>
                <w:sz w:val="21"/>
                <w:szCs w:val="21"/>
                <w:lang w:val="en-US" w:eastAsia="en-US" w:bidi="ar-SA"/>
              </w:rPr>
            </w:pPr>
            <w:r>
              <w:rPr>
                <w:rFonts w:ascii="宋体" w:hAnsi="宋体" w:eastAsia="宋体" w:cs="宋体"/>
                <w:snapToGrid w:val="0"/>
                <w:color w:val="000000"/>
                <w:spacing w:val="1"/>
                <w:kern w:val="0"/>
                <w:sz w:val="21"/>
                <w:szCs w:val="21"/>
                <w:lang w:val="en-US" w:eastAsia="en-US" w:bidi="ar-SA"/>
              </w:rPr>
              <w:t>声磁同步法/跨步电压法定位</w:t>
            </w:r>
          </w:p>
        </w:tc>
      </w:tr>
    </w:tbl>
    <w:p w14:paraId="67E96462">
      <w:pPr>
        <w:pStyle w:val="4"/>
        <w:bidi w:val="0"/>
        <w:rPr>
          <w:rFonts w:hint="eastAsia"/>
        </w:rPr>
      </w:pPr>
      <w:r>
        <w:rPr>
          <w:rFonts w:hint="eastAsia"/>
          <w:lang w:val="en-US" w:eastAsia="zh-CN"/>
        </w:rPr>
        <w:t xml:space="preserve">1.2.3  </w:t>
      </w:r>
      <w:r>
        <w:rPr>
          <w:rFonts w:hint="eastAsia"/>
        </w:rPr>
        <w:t>电力电缆故障发生原因</w:t>
      </w:r>
    </w:p>
    <w:p w14:paraId="735272E5">
      <w:pPr>
        <w:bidi w:val="0"/>
        <w:rPr>
          <w:rFonts w:hint="eastAsia"/>
        </w:rPr>
      </w:pPr>
      <w:r>
        <w:rPr>
          <w:rFonts w:hint="eastAsia"/>
        </w:rPr>
        <w:t>造成电力电缆发生故障的原因往往是由多个因素下共同作用的结果，如若处理不当，会导致电气事故频繁发生，带来了相当大的损害。因此分析电缆故障产生的原因是必不可少的，结合电缆各类故障分析和总结，故障产生原因主要分以下几种：</w:t>
      </w:r>
    </w:p>
    <w:p w14:paraId="385C72F3">
      <w:pPr>
        <w:bidi w:val="0"/>
        <w:rPr>
          <w:rFonts w:hint="eastAsia"/>
        </w:rPr>
      </w:pPr>
      <w:r>
        <w:rPr>
          <w:rFonts w:hint="eastAsia"/>
        </w:rPr>
        <w:t>(1)机械损伤</w:t>
      </w:r>
    </w:p>
    <w:p w14:paraId="6F72714F">
      <w:pPr>
        <w:bidi w:val="0"/>
        <w:rPr>
          <w:rFonts w:hint="eastAsia"/>
        </w:rPr>
      </w:pPr>
      <w:r>
        <w:rPr>
          <w:rFonts w:hint="eastAsia"/>
        </w:rPr>
        <w:t>机械损伤是造成电缆故障的首要原因，占全部故障的57%,由于识别起来比较容易，主要分以下几种：一是直接受外力损坏，如城市建设频繁作业，地下线路管理不善，造成电力电缆外力损伤事故；二是施工损伤，如电缆弯曲过渡造成绝缘层破损，机械牵引力过大容易使中间接头拉断等；三是外界自然力造成的破坏，如由于土地下沉、滑坡等引起的过大拉力导致中间接头或电缆本体的断裂，因温度过低而冻裂电缆或附件等。</w:t>
      </w:r>
    </w:p>
    <w:p w14:paraId="5B62D819">
      <w:pPr>
        <w:bidi w:val="0"/>
        <w:rPr>
          <w:rFonts w:hint="eastAsia"/>
        </w:rPr>
      </w:pPr>
      <w:r>
        <w:rPr>
          <w:rFonts w:hint="eastAsia"/>
        </w:rPr>
        <w:t>(2)过电压</w:t>
      </w:r>
    </w:p>
    <w:p w14:paraId="21FB1B1F">
      <w:pPr>
        <w:bidi w:val="0"/>
        <w:rPr>
          <w:rFonts w:hint="eastAsia"/>
        </w:rPr>
      </w:pPr>
      <w:r>
        <w:rPr>
          <w:rFonts w:hint="eastAsia"/>
        </w:rPr>
        <w:t>过电压主要分为大气过电压(雷击)和电缆内部过电压。一般情况下，对于有良好绝缘的电缆能承受3~4的大气过电压或者操作过电压，但实际故障分析表明，许多电缆终端在遭受雷击时被击穿的情况并不少见，也就是说电缆超过所能承受的电压值而导致电缆绝缘击穿。引起这种电缆绝缘击穿故障主要有以下几点：一是电缆屏蔽层内部有遗漏或者疤痕；二是电缆绝缘已经严重老化；三是电缆绝缘层内部有杂质和气泡等。</w:t>
      </w:r>
    </w:p>
    <w:p w14:paraId="4C63F0A2">
      <w:pPr>
        <w:bidi w:val="0"/>
        <w:rPr>
          <w:rFonts w:hint="eastAsia"/>
        </w:rPr>
      </w:pPr>
      <w:r>
        <w:rPr>
          <w:rFonts w:hint="eastAsia"/>
        </w:rPr>
        <w:t>(3)绝缘受潮</w:t>
      </w:r>
    </w:p>
    <w:p w14:paraId="6BD1F2DD">
      <w:pPr>
        <w:bidi w:val="0"/>
        <w:rPr>
          <w:rFonts w:hint="eastAsia"/>
        </w:rPr>
      </w:pPr>
      <w:r>
        <w:rPr>
          <w:rFonts w:hint="eastAsia"/>
        </w:rPr>
        <w:t>绝缘受潮一般发生在排管或者直埋的电缆接头处，如电缆制作工艺不良或者在潮湿的环境下做接头都会造成水分侵入，电缆护套有裂纹或被腐蚀等，这些情况最终都会导致电缆的绝缘强度下降从而引发电缆故障。</w:t>
      </w:r>
    </w:p>
    <w:p w14:paraId="24EA5032">
      <w:pPr>
        <w:bidi w:val="0"/>
        <w:rPr>
          <w:rFonts w:hint="eastAsia"/>
        </w:rPr>
      </w:pPr>
      <w:r>
        <w:rPr>
          <w:rFonts w:hint="eastAsia"/>
        </w:rPr>
        <w:t>(4)过热</w:t>
      </w:r>
    </w:p>
    <w:p w14:paraId="59A3D4D9">
      <w:pPr>
        <w:bidi w:val="0"/>
        <w:rPr>
          <w:rFonts w:hint="eastAsia"/>
        </w:rPr>
      </w:pPr>
      <w:r>
        <w:rPr>
          <w:rFonts w:hint="eastAsia"/>
        </w:rPr>
        <w:t>引起电缆过热的原因是多方面的，既有内因，又有外因。内因主要是电缆绝缘故障而使内部气隙游离导致局部过热。外因主要是电缆长期过负荷工作产生过热，如当电缆安装在比较密集的地区或者电缆隧道等通风不良处，都会使电缆过热造成整体绝缘强度下降，进而导致电缆接头处首先被击穿；橡塑绝缘电缆因过热而引起绝缘材料变质、出现裂纹等；油纸电缆因过热而引起绝缘干枯，甚至一碰就碎</w:t>
      </w:r>
      <w:bookmarkStart w:id="0" w:name="_GoBack"/>
      <w:bookmarkEnd w:id="0"/>
      <w:r>
        <w:rPr>
          <w:rFonts w:hint="eastAsia"/>
        </w:rPr>
        <w:t>。另外，过负荷也会引起电缆铅包加速结晶致使铅包损伤。</w:t>
      </w:r>
    </w:p>
    <w:p w14:paraId="28D5722F">
      <w:pPr>
        <w:bidi w:val="0"/>
        <w:rPr>
          <w:rFonts w:hint="eastAsia"/>
        </w:rPr>
      </w:pPr>
      <w:r>
        <w:rPr>
          <w:rFonts w:hint="eastAsia"/>
        </w:rPr>
        <w:t>(5)绝缘老化</w:t>
      </w:r>
    </w:p>
    <w:p w14:paraId="7D33A851">
      <w:pPr>
        <w:bidi w:val="0"/>
        <w:rPr>
          <w:rFonts w:hint="eastAsia"/>
        </w:rPr>
      </w:pPr>
      <w:r>
        <w:rPr>
          <w:rFonts w:hint="eastAsia"/>
        </w:rPr>
        <w:t>绝缘老化是指绝缘材料使用一定年限后，会出现绝缘强度下降或者介质损耗角增大而导致绝缘崩溃的现象。绝缘老化常见的有热老化、电气老化、水树枝老化、化学性老化，还有一些生物老化和机械老化等。热老化是由于温度超过允许值，引发一系列化学反应导致电缆绝缘强度下降。电气老化是由于杂质和气隙引起故障点击穿，同时伴随着电晕放电现象发生，屏蔽层有尖端突起，引发局部放电，逐步呈现出“电树枝”现象。水树枝老化是由于电缆中有水分侵入，使绝缘纤维产生水解，从而形成“水树枝”现象。化学性老化是由于电缆敷设后长时间浸泡在水中，在含有酸碱等化学物质的地段导致电缆铠装或铝包开裂、腐蚀和硫化等，一般会形成“电化树枝”现象。随着老化程度的不断加剧，从而引起局部放电现象，最终的发展趋势都是绝缘层发生击穿。</w:t>
      </w:r>
    </w:p>
    <w:p w14:paraId="581F7F42">
      <w:pPr>
        <w:bidi w:val="0"/>
        <w:rPr>
          <w:rFonts w:hint="eastAsia"/>
        </w:rPr>
      </w:pPr>
      <w:r>
        <w:rPr>
          <w:rFonts w:hint="eastAsia"/>
        </w:rPr>
        <w:t>(6)产品质量缺陷</w:t>
      </w:r>
    </w:p>
    <w:p w14:paraId="2A7CDE9E">
      <w:pPr>
        <w:bidi w:val="0"/>
        <w:rPr>
          <w:rFonts w:hint="eastAsia"/>
        </w:rPr>
      </w:pPr>
      <w:r>
        <w:rPr>
          <w:rFonts w:hint="eastAsia"/>
        </w:rPr>
        <w:t>产品质量缺陷主要指电缆本体或附件的工艺制作未到达标准，如选材不够妥当，工艺程序不合理，机械强度不够等。质量的优劣直接影响到电缆线路的安全运行，产品质量缺陷可以归纳以下三点：一是电缆本体质量缺陷，如在电缆制造过程中，绝缘层内混入气泡、杂质，或半导体层有疤痕、遗漏，或线芯绞合不够紧等；油纸电缆护套层有杂质砂粒、机械损伤或有缝隙等；这些都会导致绝缘性能降低。二是电缆附件质量缺陷，主要指电缆接头质量的缺陷，如组装部分加工粗糙，绝缘管内有气泡、杂质或厚薄不均匀，铸铁件出现裂痕等。三是制作质量缺陷，如绝缘层缠绕不紧，密封性能差，地线安装不牢，半导体层处理不净等。</w:t>
      </w:r>
    </w:p>
    <w:sectPr>
      <w:pgSz w:w="11906" w:h="16838"/>
      <w:pgMar w:top="1531" w:right="1134" w:bottom="1134" w:left="1134"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auto"/>
    <w:pitch w:val="default"/>
    <w:sig w:usb0="E0002EFF" w:usb1="C000785B" w:usb2="00000009" w:usb3="00000000" w:csb0="400001FF" w:csb1="FFFF0000"/>
  </w:font>
  <w:font w:name="宋体">
    <w:panose1 w:val="02010600030101010101"/>
    <w:charset w:val="34"/>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_GBK">
    <w:altName w:val="微软雅黑"/>
    <w:panose1 w:val="00000000000000000000"/>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24" w:lineRule="auto"/>
        <w:ind w:firstLine="480"/>
      </w:pPr>
      <w:r>
        <w:separator/>
      </w:r>
    </w:p>
  </w:footnote>
  <w:footnote w:type="continuationSeparator" w:id="1">
    <w:p>
      <w:pPr>
        <w:spacing w:line="324"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81211B3"/>
    <w:rsid w:val="0017670A"/>
    <w:rsid w:val="00185832"/>
    <w:rsid w:val="001C5BA6"/>
    <w:rsid w:val="001E387A"/>
    <w:rsid w:val="003B4916"/>
    <w:rsid w:val="004E464B"/>
    <w:rsid w:val="005B4ED6"/>
    <w:rsid w:val="008F127C"/>
    <w:rsid w:val="00BE7A97"/>
    <w:rsid w:val="00E17D1A"/>
    <w:rsid w:val="01135458"/>
    <w:rsid w:val="01275CCC"/>
    <w:rsid w:val="012B618F"/>
    <w:rsid w:val="01363F91"/>
    <w:rsid w:val="01516AF1"/>
    <w:rsid w:val="018133AE"/>
    <w:rsid w:val="01832D27"/>
    <w:rsid w:val="01903698"/>
    <w:rsid w:val="01E83A60"/>
    <w:rsid w:val="0217384C"/>
    <w:rsid w:val="0242555C"/>
    <w:rsid w:val="02597D70"/>
    <w:rsid w:val="02715216"/>
    <w:rsid w:val="027418C6"/>
    <w:rsid w:val="02934C89"/>
    <w:rsid w:val="02A65F99"/>
    <w:rsid w:val="02A754CE"/>
    <w:rsid w:val="02E33B90"/>
    <w:rsid w:val="02E54E70"/>
    <w:rsid w:val="030D234B"/>
    <w:rsid w:val="032040DA"/>
    <w:rsid w:val="03742976"/>
    <w:rsid w:val="039D3B57"/>
    <w:rsid w:val="039D4168"/>
    <w:rsid w:val="03A372B2"/>
    <w:rsid w:val="03B261C7"/>
    <w:rsid w:val="03B87609"/>
    <w:rsid w:val="03CE5F43"/>
    <w:rsid w:val="03EC4786"/>
    <w:rsid w:val="040478CE"/>
    <w:rsid w:val="040D5930"/>
    <w:rsid w:val="044B1A22"/>
    <w:rsid w:val="045D5FA4"/>
    <w:rsid w:val="046025E3"/>
    <w:rsid w:val="046E520C"/>
    <w:rsid w:val="048261A7"/>
    <w:rsid w:val="048C4338"/>
    <w:rsid w:val="04C26432"/>
    <w:rsid w:val="050050CC"/>
    <w:rsid w:val="051C51FC"/>
    <w:rsid w:val="051E278B"/>
    <w:rsid w:val="05311A47"/>
    <w:rsid w:val="053D7AC4"/>
    <w:rsid w:val="054B2908"/>
    <w:rsid w:val="05654EA6"/>
    <w:rsid w:val="0573363F"/>
    <w:rsid w:val="059F4E18"/>
    <w:rsid w:val="05AC6286"/>
    <w:rsid w:val="05D55CB2"/>
    <w:rsid w:val="05F00F12"/>
    <w:rsid w:val="06005193"/>
    <w:rsid w:val="06163AF2"/>
    <w:rsid w:val="062355D4"/>
    <w:rsid w:val="06287F0F"/>
    <w:rsid w:val="06357C0A"/>
    <w:rsid w:val="06366F06"/>
    <w:rsid w:val="06491EA2"/>
    <w:rsid w:val="06897609"/>
    <w:rsid w:val="069B17AC"/>
    <w:rsid w:val="06C17FC5"/>
    <w:rsid w:val="06C63C4A"/>
    <w:rsid w:val="06F56FAC"/>
    <w:rsid w:val="0700517C"/>
    <w:rsid w:val="07061D13"/>
    <w:rsid w:val="071772AE"/>
    <w:rsid w:val="072027E6"/>
    <w:rsid w:val="072201BC"/>
    <w:rsid w:val="07364E20"/>
    <w:rsid w:val="076971FB"/>
    <w:rsid w:val="0782659D"/>
    <w:rsid w:val="07850BD5"/>
    <w:rsid w:val="07AB5FF7"/>
    <w:rsid w:val="07CD6198"/>
    <w:rsid w:val="07EB427B"/>
    <w:rsid w:val="07F808AC"/>
    <w:rsid w:val="083C730E"/>
    <w:rsid w:val="08405E20"/>
    <w:rsid w:val="085071D1"/>
    <w:rsid w:val="087135DB"/>
    <w:rsid w:val="087A28D8"/>
    <w:rsid w:val="08A82D12"/>
    <w:rsid w:val="08A9786E"/>
    <w:rsid w:val="08C43372"/>
    <w:rsid w:val="08CE7452"/>
    <w:rsid w:val="08D137DE"/>
    <w:rsid w:val="08D238E6"/>
    <w:rsid w:val="08F12719"/>
    <w:rsid w:val="08F5178D"/>
    <w:rsid w:val="09093579"/>
    <w:rsid w:val="090B09A6"/>
    <w:rsid w:val="091B62C7"/>
    <w:rsid w:val="091D12B9"/>
    <w:rsid w:val="09293C1C"/>
    <w:rsid w:val="094B5C34"/>
    <w:rsid w:val="09774003"/>
    <w:rsid w:val="09B40558"/>
    <w:rsid w:val="09BA3F3C"/>
    <w:rsid w:val="09E90293"/>
    <w:rsid w:val="09FD329E"/>
    <w:rsid w:val="0A04491B"/>
    <w:rsid w:val="0AB10F4C"/>
    <w:rsid w:val="0AB55759"/>
    <w:rsid w:val="0ADD2F9A"/>
    <w:rsid w:val="0AF05458"/>
    <w:rsid w:val="0B120085"/>
    <w:rsid w:val="0B1447E1"/>
    <w:rsid w:val="0B263BDE"/>
    <w:rsid w:val="0B3B066C"/>
    <w:rsid w:val="0B4E16C9"/>
    <w:rsid w:val="0B7C4E18"/>
    <w:rsid w:val="0BA3136D"/>
    <w:rsid w:val="0BA7594E"/>
    <w:rsid w:val="0BC119B1"/>
    <w:rsid w:val="0BC15123"/>
    <w:rsid w:val="0BD97E48"/>
    <w:rsid w:val="0BFD1A45"/>
    <w:rsid w:val="0C2F5710"/>
    <w:rsid w:val="0C3D5A0D"/>
    <w:rsid w:val="0C4441DC"/>
    <w:rsid w:val="0C871385"/>
    <w:rsid w:val="0C872834"/>
    <w:rsid w:val="0C886FEE"/>
    <w:rsid w:val="0C8C5AF0"/>
    <w:rsid w:val="0C8D3572"/>
    <w:rsid w:val="0C9C1214"/>
    <w:rsid w:val="0CAA5513"/>
    <w:rsid w:val="0CB27867"/>
    <w:rsid w:val="0CB46F7B"/>
    <w:rsid w:val="0CCF6DD1"/>
    <w:rsid w:val="0CD9346B"/>
    <w:rsid w:val="0D0F7BB6"/>
    <w:rsid w:val="0D27110D"/>
    <w:rsid w:val="0D415868"/>
    <w:rsid w:val="0D484269"/>
    <w:rsid w:val="0D7F17B3"/>
    <w:rsid w:val="0D827302"/>
    <w:rsid w:val="0DA050ED"/>
    <w:rsid w:val="0DBF7167"/>
    <w:rsid w:val="0DC7709D"/>
    <w:rsid w:val="0DEC0F30"/>
    <w:rsid w:val="0E0811BA"/>
    <w:rsid w:val="0E0C1611"/>
    <w:rsid w:val="0E154D5A"/>
    <w:rsid w:val="0E244D1A"/>
    <w:rsid w:val="0E565B87"/>
    <w:rsid w:val="0E8C3038"/>
    <w:rsid w:val="0EB85EFA"/>
    <w:rsid w:val="0EFD2F23"/>
    <w:rsid w:val="0F005092"/>
    <w:rsid w:val="0F17027A"/>
    <w:rsid w:val="0F2400E6"/>
    <w:rsid w:val="0F4B18D1"/>
    <w:rsid w:val="0F81114B"/>
    <w:rsid w:val="0F861633"/>
    <w:rsid w:val="0FA36083"/>
    <w:rsid w:val="0FA632A5"/>
    <w:rsid w:val="0FAD70A6"/>
    <w:rsid w:val="0FAE39FE"/>
    <w:rsid w:val="0FCE2E27"/>
    <w:rsid w:val="10014F99"/>
    <w:rsid w:val="100D73DC"/>
    <w:rsid w:val="103E0F42"/>
    <w:rsid w:val="1044300D"/>
    <w:rsid w:val="10522001"/>
    <w:rsid w:val="107C0941"/>
    <w:rsid w:val="10947BCD"/>
    <w:rsid w:val="10C31796"/>
    <w:rsid w:val="10C6475F"/>
    <w:rsid w:val="10E45C88"/>
    <w:rsid w:val="10E67209"/>
    <w:rsid w:val="11160BE5"/>
    <w:rsid w:val="11525504"/>
    <w:rsid w:val="11557881"/>
    <w:rsid w:val="11F27D93"/>
    <w:rsid w:val="120B6A29"/>
    <w:rsid w:val="122568AB"/>
    <w:rsid w:val="12445461"/>
    <w:rsid w:val="1245103A"/>
    <w:rsid w:val="12884B41"/>
    <w:rsid w:val="12B26D56"/>
    <w:rsid w:val="12DE3365"/>
    <w:rsid w:val="12F92156"/>
    <w:rsid w:val="12FD1779"/>
    <w:rsid w:val="130A4354"/>
    <w:rsid w:val="130B7EEE"/>
    <w:rsid w:val="13423D73"/>
    <w:rsid w:val="1352692F"/>
    <w:rsid w:val="139E29D7"/>
    <w:rsid w:val="13A147D1"/>
    <w:rsid w:val="13B6241A"/>
    <w:rsid w:val="13C05634"/>
    <w:rsid w:val="13E71549"/>
    <w:rsid w:val="140D75DF"/>
    <w:rsid w:val="140F4D78"/>
    <w:rsid w:val="144D2D64"/>
    <w:rsid w:val="147E528A"/>
    <w:rsid w:val="149D0F3E"/>
    <w:rsid w:val="14A00B7B"/>
    <w:rsid w:val="14AE500B"/>
    <w:rsid w:val="14B167DE"/>
    <w:rsid w:val="14C34039"/>
    <w:rsid w:val="157035FE"/>
    <w:rsid w:val="15817A39"/>
    <w:rsid w:val="15A06D1D"/>
    <w:rsid w:val="15C115BD"/>
    <w:rsid w:val="160054CB"/>
    <w:rsid w:val="16027EA9"/>
    <w:rsid w:val="160557EF"/>
    <w:rsid w:val="16065503"/>
    <w:rsid w:val="161777BB"/>
    <w:rsid w:val="16193F6D"/>
    <w:rsid w:val="16315312"/>
    <w:rsid w:val="164C1B77"/>
    <w:rsid w:val="165F3D9C"/>
    <w:rsid w:val="168B6BD8"/>
    <w:rsid w:val="16BA270B"/>
    <w:rsid w:val="16CD5179"/>
    <w:rsid w:val="16EB2526"/>
    <w:rsid w:val="1726588C"/>
    <w:rsid w:val="174753BE"/>
    <w:rsid w:val="17766932"/>
    <w:rsid w:val="1783751E"/>
    <w:rsid w:val="17A64C0F"/>
    <w:rsid w:val="17BC19BE"/>
    <w:rsid w:val="17CA1E12"/>
    <w:rsid w:val="18027AB5"/>
    <w:rsid w:val="186714BD"/>
    <w:rsid w:val="18983EB8"/>
    <w:rsid w:val="18997C0E"/>
    <w:rsid w:val="18AD0827"/>
    <w:rsid w:val="18B26DC2"/>
    <w:rsid w:val="18E04B12"/>
    <w:rsid w:val="18E91338"/>
    <w:rsid w:val="18F42DFF"/>
    <w:rsid w:val="19236FA8"/>
    <w:rsid w:val="19611C8D"/>
    <w:rsid w:val="198B45C5"/>
    <w:rsid w:val="199A559A"/>
    <w:rsid w:val="199B6BDD"/>
    <w:rsid w:val="19A90B8D"/>
    <w:rsid w:val="19B8070C"/>
    <w:rsid w:val="19B82AB7"/>
    <w:rsid w:val="19D40197"/>
    <w:rsid w:val="19EB2586"/>
    <w:rsid w:val="1A136880"/>
    <w:rsid w:val="1A242823"/>
    <w:rsid w:val="1A2C0224"/>
    <w:rsid w:val="1A7A6085"/>
    <w:rsid w:val="1AA85D16"/>
    <w:rsid w:val="1ABB586B"/>
    <w:rsid w:val="1AC01F55"/>
    <w:rsid w:val="1AC4571A"/>
    <w:rsid w:val="1AC5136D"/>
    <w:rsid w:val="1AE31E7C"/>
    <w:rsid w:val="1AE342F4"/>
    <w:rsid w:val="1AF07CAC"/>
    <w:rsid w:val="1B0434B9"/>
    <w:rsid w:val="1B421181"/>
    <w:rsid w:val="1B5B0173"/>
    <w:rsid w:val="1BC4107F"/>
    <w:rsid w:val="1BF620E0"/>
    <w:rsid w:val="1C3C020C"/>
    <w:rsid w:val="1C486CD6"/>
    <w:rsid w:val="1C572DE2"/>
    <w:rsid w:val="1C5A41D6"/>
    <w:rsid w:val="1C650A4A"/>
    <w:rsid w:val="1C73131A"/>
    <w:rsid w:val="1C8147CC"/>
    <w:rsid w:val="1CA57152"/>
    <w:rsid w:val="1CAA35A3"/>
    <w:rsid w:val="1CD0764D"/>
    <w:rsid w:val="1CE24685"/>
    <w:rsid w:val="1CE36E7B"/>
    <w:rsid w:val="1CFF47F3"/>
    <w:rsid w:val="1D0B1DE4"/>
    <w:rsid w:val="1D2D06AA"/>
    <w:rsid w:val="1D30068A"/>
    <w:rsid w:val="1D37162E"/>
    <w:rsid w:val="1D3F5649"/>
    <w:rsid w:val="1D4635F1"/>
    <w:rsid w:val="1D487728"/>
    <w:rsid w:val="1D492864"/>
    <w:rsid w:val="1D4C3AEB"/>
    <w:rsid w:val="1D804AB3"/>
    <w:rsid w:val="1D926417"/>
    <w:rsid w:val="1D9D1498"/>
    <w:rsid w:val="1DA35BA1"/>
    <w:rsid w:val="1DAC08EC"/>
    <w:rsid w:val="1DB165AA"/>
    <w:rsid w:val="1DB96ED7"/>
    <w:rsid w:val="1DDF5316"/>
    <w:rsid w:val="1DE37D4B"/>
    <w:rsid w:val="1DE93035"/>
    <w:rsid w:val="1DFB1ECC"/>
    <w:rsid w:val="1E0B6D40"/>
    <w:rsid w:val="1E1D5F19"/>
    <w:rsid w:val="1E2C53E8"/>
    <w:rsid w:val="1E32259C"/>
    <w:rsid w:val="1E4148CB"/>
    <w:rsid w:val="1E4277FD"/>
    <w:rsid w:val="1E4B527B"/>
    <w:rsid w:val="1E5326E7"/>
    <w:rsid w:val="1E71154D"/>
    <w:rsid w:val="1E72251E"/>
    <w:rsid w:val="1EA33E3C"/>
    <w:rsid w:val="1EAD37EC"/>
    <w:rsid w:val="1EAE3076"/>
    <w:rsid w:val="1EC72646"/>
    <w:rsid w:val="1ED12C54"/>
    <w:rsid w:val="1EE50389"/>
    <w:rsid w:val="1EFD5AA0"/>
    <w:rsid w:val="1F113E92"/>
    <w:rsid w:val="1F1C444F"/>
    <w:rsid w:val="1F3912DC"/>
    <w:rsid w:val="1F4D2FD9"/>
    <w:rsid w:val="1F6A112E"/>
    <w:rsid w:val="1F763404"/>
    <w:rsid w:val="1F9E308F"/>
    <w:rsid w:val="1FA34803"/>
    <w:rsid w:val="1FA84E40"/>
    <w:rsid w:val="1FB167D8"/>
    <w:rsid w:val="1FC42F44"/>
    <w:rsid w:val="1FC916EC"/>
    <w:rsid w:val="1FDF509B"/>
    <w:rsid w:val="1FE8099B"/>
    <w:rsid w:val="1FEF4DA6"/>
    <w:rsid w:val="20016734"/>
    <w:rsid w:val="20171A00"/>
    <w:rsid w:val="20192601"/>
    <w:rsid w:val="204B1825"/>
    <w:rsid w:val="20570C23"/>
    <w:rsid w:val="20942D3A"/>
    <w:rsid w:val="20B12F28"/>
    <w:rsid w:val="20F251EA"/>
    <w:rsid w:val="20FD41AD"/>
    <w:rsid w:val="21035D13"/>
    <w:rsid w:val="212104A9"/>
    <w:rsid w:val="21455504"/>
    <w:rsid w:val="21580E0B"/>
    <w:rsid w:val="21593611"/>
    <w:rsid w:val="217E248C"/>
    <w:rsid w:val="219F64F6"/>
    <w:rsid w:val="21E558C5"/>
    <w:rsid w:val="21F12CF3"/>
    <w:rsid w:val="21FD6DD0"/>
    <w:rsid w:val="220D6B41"/>
    <w:rsid w:val="22184CB8"/>
    <w:rsid w:val="222E4529"/>
    <w:rsid w:val="222F2696"/>
    <w:rsid w:val="22392D02"/>
    <w:rsid w:val="22484D0B"/>
    <w:rsid w:val="225327D0"/>
    <w:rsid w:val="22A10E8E"/>
    <w:rsid w:val="22B37249"/>
    <w:rsid w:val="230E3341"/>
    <w:rsid w:val="233B4BFA"/>
    <w:rsid w:val="23444E3B"/>
    <w:rsid w:val="23715EFF"/>
    <w:rsid w:val="23897379"/>
    <w:rsid w:val="23A27BA1"/>
    <w:rsid w:val="23B86DBC"/>
    <w:rsid w:val="23C52444"/>
    <w:rsid w:val="23D314E2"/>
    <w:rsid w:val="23D81189"/>
    <w:rsid w:val="23E44821"/>
    <w:rsid w:val="23EC2C2E"/>
    <w:rsid w:val="23F7405F"/>
    <w:rsid w:val="240F06FA"/>
    <w:rsid w:val="241675D9"/>
    <w:rsid w:val="24184D37"/>
    <w:rsid w:val="243039C8"/>
    <w:rsid w:val="24422A74"/>
    <w:rsid w:val="244E4DD3"/>
    <w:rsid w:val="24592207"/>
    <w:rsid w:val="246103A1"/>
    <w:rsid w:val="249266B3"/>
    <w:rsid w:val="24B76E63"/>
    <w:rsid w:val="24F86A64"/>
    <w:rsid w:val="251D2516"/>
    <w:rsid w:val="25341104"/>
    <w:rsid w:val="254B539A"/>
    <w:rsid w:val="25502786"/>
    <w:rsid w:val="255C0E39"/>
    <w:rsid w:val="25AE04E9"/>
    <w:rsid w:val="25AE309F"/>
    <w:rsid w:val="25C646DE"/>
    <w:rsid w:val="25F931E2"/>
    <w:rsid w:val="26270D76"/>
    <w:rsid w:val="262838D2"/>
    <w:rsid w:val="26DB7871"/>
    <w:rsid w:val="26EE4625"/>
    <w:rsid w:val="2780049C"/>
    <w:rsid w:val="2782198E"/>
    <w:rsid w:val="278A70DF"/>
    <w:rsid w:val="278D5CB9"/>
    <w:rsid w:val="278E6DC4"/>
    <w:rsid w:val="27D21143"/>
    <w:rsid w:val="27E72DE3"/>
    <w:rsid w:val="28437E1B"/>
    <w:rsid w:val="28453621"/>
    <w:rsid w:val="28D51714"/>
    <w:rsid w:val="28EA0143"/>
    <w:rsid w:val="28EB69DE"/>
    <w:rsid w:val="291A2C18"/>
    <w:rsid w:val="29237EA2"/>
    <w:rsid w:val="293006E4"/>
    <w:rsid w:val="29473795"/>
    <w:rsid w:val="29571EB2"/>
    <w:rsid w:val="295A2F33"/>
    <w:rsid w:val="29881E6F"/>
    <w:rsid w:val="299113C7"/>
    <w:rsid w:val="29945FD6"/>
    <w:rsid w:val="29BB52BA"/>
    <w:rsid w:val="29DE6B74"/>
    <w:rsid w:val="29E001BB"/>
    <w:rsid w:val="29FF2372"/>
    <w:rsid w:val="2A0272ED"/>
    <w:rsid w:val="2A0F255A"/>
    <w:rsid w:val="2A3A6D3B"/>
    <w:rsid w:val="2A455ED8"/>
    <w:rsid w:val="2AA15E21"/>
    <w:rsid w:val="2AB85BFA"/>
    <w:rsid w:val="2ABD206C"/>
    <w:rsid w:val="2AF860D3"/>
    <w:rsid w:val="2B05322F"/>
    <w:rsid w:val="2B221FB4"/>
    <w:rsid w:val="2B447849"/>
    <w:rsid w:val="2B6C2EA9"/>
    <w:rsid w:val="2B782D43"/>
    <w:rsid w:val="2BC236A6"/>
    <w:rsid w:val="2BD415E3"/>
    <w:rsid w:val="2BE42C4F"/>
    <w:rsid w:val="2C191268"/>
    <w:rsid w:val="2C2A7F9E"/>
    <w:rsid w:val="2C340EE1"/>
    <w:rsid w:val="2C404035"/>
    <w:rsid w:val="2C497EAA"/>
    <w:rsid w:val="2C5028B1"/>
    <w:rsid w:val="2C5F615A"/>
    <w:rsid w:val="2C622F99"/>
    <w:rsid w:val="2C7661CC"/>
    <w:rsid w:val="2C836423"/>
    <w:rsid w:val="2CCA5ED2"/>
    <w:rsid w:val="2CE22A83"/>
    <w:rsid w:val="2D025DB0"/>
    <w:rsid w:val="2D15440E"/>
    <w:rsid w:val="2D1B459A"/>
    <w:rsid w:val="2D376058"/>
    <w:rsid w:val="2D3760D5"/>
    <w:rsid w:val="2D4A3B90"/>
    <w:rsid w:val="2D5003D8"/>
    <w:rsid w:val="2D5D6150"/>
    <w:rsid w:val="2D6034CD"/>
    <w:rsid w:val="2D7748D6"/>
    <w:rsid w:val="2D8439CC"/>
    <w:rsid w:val="2D8800B2"/>
    <w:rsid w:val="2D893EB2"/>
    <w:rsid w:val="2D9A2127"/>
    <w:rsid w:val="2DCD0341"/>
    <w:rsid w:val="2DCF1C81"/>
    <w:rsid w:val="2DD86D7D"/>
    <w:rsid w:val="2E050068"/>
    <w:rsid w:val="2E2C14C3"/>
    <w:rsid w:val="2E2F2C3B"/>
    <w:rsid w:val="2E2F52F8"/>
    <w:rsid w:val="2E3D6AA6"/>
    <w:rsid w:val="2E3F4517"/>
    <w:rsid w:val="2E614B7F"/>
    <w:rsid w:val="2E99409A"/>
    <w:rsid w:val="2EBD1842"/>
    <w:rsid w:val="2ED90510"/>
    <w:rsid w:val="2F2545F1"/>
    <w:rsid w:val="2F296CB3"/>
    <w:rsid w:val="2F401543"/>
    <w:rsid w:val="2F9704F5"/>
    <w:rsid w:val="2FA0106C"/>
    <w:rsid w:val="2FD96878"/>
    <w:rsid w:val="2FF128A6"/>
    <w:rsid w:val="300B110C"/>
    <w:rsid w:val="300B15AB"/>
    <w:rsid w:val="3026741C"/>
    <w:rsid w:val="309E0491"/>
    <w:rsid w:val="30D37D44"/>
    <w:rsid w:val="30DA3E6C"/>
    <w:rsid w:val="30DF486E"/>
    <w:rsid w:val="30FC49E4"/>
    <w:rsid w:val="31185A48"/>
    <w:rsid w:val="31584A85"/>
    <w:rsid w:val="31740D91"/>
    <w:rsid w:val="31870368"/>
    <w:rsid w:val="31970646"/>
    <w:rsid w:val="31D856BA"/>
    <w:rsid w:val="31E22C24"/>
    <w:rsid w:val="31EE674E"/>
    <w:rsid w:val="31F12653"/>
    <w:rsid w:val="31FA44AF"/>
    <w:rsid w:val="3224103C"/>
    <w:rsid w:val="3235526A"/>
    <w:rsid w:val="324C2100"/>
    <w:rsid w:val="32624F83"/>
    <w:rsid w:val="32846129"/>
    <w:rsid w:val="329A0156"/>
    <w:rsid w:val="32B141E0"/>
    <w:rsid w:val="32D360DD"/>
    <w:rsid w:val="32F732F0"/>
    <w:rsid w:val="331819E8"/>
    <w:rsid w:val="333655C7"/>
    <w:rsid w:val="333B4C66"/>
    <w:rsid w:val="3364680C"/>
    <w:rsid w:val="336D1688"/>
    <w:rsid w:val="33812317"/>
    <w:rsid w:val="33C63842"/>
    <w:rsid w:val="33D45236"/>
    <w:rsid w:val="3436397D"/>
    <w:rsid w:val="347F2F78"/>
    <w:rsid w:val="348804CC"/>
    <w:rsid w:val="349F1E45"/>
    <w:rsid w:val="34B25384"/>
    <w:rsid w:val="34D27DBB"/>
    <w:rsid w:val="34DA4DBA"/>
    <w:rsid w:val="34DD69A1"/>
    <w:rsid w:val="34EF3EA5"/>
    <w:rsid w:val="350E1B57"/>
    <w:rsid w:val="351E67A9"/>
    <w:rsid w:val="353E0C0C"/>
    <w:rsid w:val="354831F5"/>
    <w:rsid w:val="354C3EE3"/>
    <w:rsid w:val="354E3F3E"/>
    <w:rsid w:val="355C3FFC"/>
    <w:rsid w:val="35811EB6"/>
    <w:rsid w:val="359126EA"/>
    <w:rsid w:val="35A246C9"/>
    <w:rsid w:val="35CD597B"/>
    <w:rsid w:val="35EC0A26"/>
    <w:rsid w:val="360E3A3A"/>
    <w:rsid w:val="362E55E5"/>
    <w:rsid w:val="36451312"/>
    <w:rsid w:val="364C51E4"/>
    <w:rsid w:val="36533784"/>
    <w:rsid w:val="365918C0"/>
    <w:rsid w:val="36656A49"/>
    <w:rsid w:val="366E6D27"/>
    <w:rsid w:val="3685490C"/>
    <w:rsid w:val="369D62DE"/>
    <w:rsid w:val="369F3808"/>
    <w:rsid w:val="36E7670A"/>
    <w:rsid w:val="36F71A7B"/>
    <w:rsid w:val="37221A79"/>
    <w:rsid w:val="3727521B"/>
    <w:rsid w:val="372B6CD9"/>
    <w:rsid w:val="37374315"/>
    <w:rsid w:val="37376770"/>
    <w:rsid w:val="375354EA"/>
    <w:rsid w:val="375441B8"/>
    <w:rsid w:val="375E6C8F"/>
    <w:rsid w:val="377872A6"/>
    <w:rsid w:val="377C0E9A"/>
    <w:rsid w:val="37A637DF"/>
    <w:rsid w:val="37B67F96"/>
    <w:rsid w:val="38194620"/>
    <w:rsid w:val="382442C8"/>
    <w:rsid w:val="3831307F"/>
    <w:rsid w:val="38391BCE"/>
    <w:rsid w:val="384858A4"/>
    <w:rsid w:val="38952659"/>
    <w:rsid w:val="38A63DEE"/>
    <w:rsid w:val="38E057F5"/>
    <w:rsid w:val="390F1CA1"/>
    <w:rsid w:val="39121A1D"/>
    <w:rsid w:val="391938B8"/>
    <w:rsid w:val="39334084"/>
    <w:rsid w:val="39530C1B"/>
    <w:rsid w:val="396663A6"/>
    <w:rsid w:val="39D4691A"/>
    <w:rsid w:val="39DC0963"/>
    <w:rsid w:val="39EF0EC0"/>
    <w:rsid w:val="3A054794"/>
    <w:rsid w:val="3A101842"/>
    <w:rsid w:val="3A2F1AD4"/>
    <w:rsid w:val="3A2F6D96"/>
    <w:rsid w:val="3A440338"/>
    <w:rsid w:val="3A4C579F"/>
    <w:rsid w:val="3A602FF5"/>
    <w:rsid w:val="3A831051"/>
    <w:rsid w:val="3A8A0795"/>
    <w:rsid w:val="3AB36478"/>
    <w:rsid w:val="3AC37BD8"/>
    <w:rsid w:val="3AD03953"/>
    <w:rsid w:val="3AD80583"/>
    <w:rsid w:val="3AF653C5"/>
    <w:rsid w:val="3B1135B1"/>
    <w:rsid w:val="3B1310C0"/>
    <w:rsid w:val="3B74226D"/>
    <w:rsid w:val="3BBC7EF9"/>
    <w:rsid w:val="3BC82699"/>
    <w:rsid w:val="3BD61609"/>
    <w:rsid w:val="3BED29AD"/>
    <w:rsid w:val="3C077366"/>
    <w:rsid w:val="3C10603E"/>
    <w:rsid w:val="3C2D5F13"/>
    <w:rsid w:val="3C592AC7"/>
    <w:rsid w:val="3C711857"/>
    <w:rsid w:val="3C766C4A"/>
    <w:rsid w:val="3C7C7C78"/>
    <w:rsid w:val="3C8A2A36"/>
    <w:rsid w:val="3CC24DEB"/>
    <w:rsid w:val="3CC80A7A"/>
    <w:rsid w:val="3CD83EF8"/>
    <w:rsid w:val="3CF23AB1"/>
    <w:rsid w:val="3D0031D0"/>
    <w:rsid w:val="3D06787A"/>
    <w:rsid w:val="3D29645D"/>
    <w:rsid w:val="3D3B4EB5"/>
    <w:rsid w:val="3D5B0A6C"/>
    <w:rsid w:val="3D7E7B10"/>
    <w:rsid w:val="3D84599B"/>
    <w:rsid w:val="3D8A0A1B"/>
    <w:rsid w:val="3DAB258E"/>
    <w:rsid w:val="3DE84774"/>
    <w:rsid w:val="3DF15DAF"/>
    <w:rsid w:val="3DF33087"/>
    <w:rsid w:val="3DF343C8"/>
    <w:rsid w:val="3E085B4E"/>
    <w:rsid w:val="3E1F3CB1"/>
    <w:rsid w:val="3E2F11CD"/>
    <w:rsid w:val="3E387AEA"/>
    <w:rsid w:val="3E387D1A"/>
    <w:rsid w:val="3E44116C"/>
    <w:rsid w:val="3E844A28"/>
    <w:rsid w:val="3EBE37D4"/>
    <w:rsid w:val="3EE35ABB"/>
    <w:rsid w:val="3F1C5DCD"/>
    <w:rsid w:val="3F4C2449"/>
    <w:rsid w:val="3F5D4D99"/>
    <w:rsid w:val="3F625026"/>
    <w:rsid w:val="3F89055B"/>
    <w:rsid w:val="3FA3298B"/>
    <w:rsid w:val="3FCB7B3C"/>
    <w:rsid w:val="3FE22722"/>
    <w:rsid w:val="401031B7"/>
    <w:rsid w:val="401841E9"/>
    <w:rsid w:val="40320AC8"/>
    <w:rsid w:val="4033464E"/>
    <w:rsid w:val="405E0A64"/>
    <w:rsid w:val="40925E18"/>
    <w:rsid w:val="40955252"/>
    <w:rsid w:val="40AC13AF"/>
    <w:rsid w:val="40C97853"/>
    <w:rsid w:val="40CA3013"/>
    <w:rsid w:val="40E601FD"/>
    <w:rsid w:val="40FA33FF"/>
    <w:rsid w:val="41073A9A"/>
    <w:rsid w:val="411540BC"/>
    <w:rsid w:val="4122263C"/>
    <w:rsid w:val="412D7108"/>
    <w:rsid w:val="412E00E0"/>
    <w:rsid w:val="412F1F18"/>
    <w:rsid w:val="41325CD1"/>
    <w:rsid w:val="413B7EBC"/>
    <w:rsid w:val="414C0658"/>
    <w:rsid w:val="415542F5"/>
    <w:rsid w:val="417750ED"/>
    <w:rsid w:val="41B6075A"/>
    <w:rsid w:val="41C14B14"/>
    <w:rsid w:val="41C15304"/>
    <w:rsid w:val="41C3470C"/>
    <w:rsid w:val="41DA4C6B"/>
    <w:rsid w:val="41DF0299"/>
    <w:rsid w:val="42305B5B"/>
    <w:rsid w:val="423B4F5C"/>
    <w:rsid w:val="42401BEA"/>
    <w:rsid w:val="425600EF"/>
    <w:rsid w:val="426527BD"/>
    <w:rsid w:val="427D6BBC"/>
    <w:rsid w:val="42D42E7E"/>
    <w:rsid w:val="42ED46AB"/>
    <w:rsid w:val="4301367D"/>
    <w:rsid w:val="430F0BD1"/>
    <w:rsid w:val="43237C65"/>
    <w:rsid w:val="432E54E0"/>
    <w:rsid w:val="43765C62"/>
    <w:rsid w:val="43A2430B"/>
    <w:rsid w:val="43F5242D"/>
    <w:rsid w:val="43FA2C61"/>
    <w:rsid w:val="440D563D"/>
    <w:rsid w:val="443D7BC6"/>
    <w:rsid w:val="446A35E9"/>
    <w:rsid w:val="447F4D19"/>
    <w:rsid w:val="448F109E"/>
    <w:rsid w:val="44947E46"/>
    <w:rsid w:val="44952BBF"/>
    <w:rsid w:val="44C10271"/>
    <w:rsid w:val="44D04269"/>
    <w:rsid w:val="44F559F4"/>
    <w:rsid w:val="451572AF"/>
    <w:rsid w:val="452E431B"/>
    <w:rsid w:val="45341273"/>
    <w:rsid w:val="45354867"/>
    <w:rsid w:val="454113CA"/>
    <w:rsid w:val="454366F1"/>
    <w:rsid w:val="454A712A"/>
    <w:rsid w:val="45751BB4"/>
    <w:rsid w:val="45AD2755"/>
    <w:rsid w:val="45B11581"/>
    <w:rsid w:val="45C91970"/>
    <w:rsid w:val="45D4147F"/>
    <w:rsid w:val="45E5509A"/>
    <w:rsid w:val="45FD151A"/>
    <w:rsid w:val="462E1B9E"/>
    <w:rsid w:val="463A57AD"/>
    <w:rsid w:val="4644256F"/>
    <w:rsid w:val="46671894"/>
    <w:rsid w:val="466D32B1"/>
    <w:rsid w:val="467A1164"/>
    <w:rsid w:val="46920BFF"/>
    <w:rsid w:val="46A05541"/>
    <w:rsid w:val="46CD0598"/>
    <w:rsid w:val="46D45B00"/>
    <w:rsid w:val="47622354"/>
    <w:rsid w:val="47674E28"/>
    <w:rsid w:val="47703DAA"/>
    <w:rsid w:val="4785567D"/>
    <w:rsid w:val="478A31B2"/>
    <w:rsid w:val="479F10A1"/>
    <w:rsid w:val="479F742B"/>
    <w:rsid w:val="47B448F0"/>
    <w:rsid w:val="47B74020"/>
    <w:rsid w:val="47B868C0"/>
    <w:rsid w:val="47D36B56"/>
    <w:rsid w:val="47EE07B4"/>
    <w:rsid w:val="47F03285"/>
    <w:rsid w:val="47F419D8"/>
    <w:rsid w:val="48006159"/>
    <w:rsid w:val="48170167"/>
    <w:rsid w:val="48313466"/>
    <w:rsid w:val="485060FE"/>
    <w:rsid w:val="48726A09"/>
    <w:rsid w:val="488F5E9F"/>
    <w:rsid w:val="48944606"/>
    <w:rsid w:val="489A69EC"/>
    <w:rsid w:val="48C20B9C"/>
    <w:rsid w:val="48CA77C8"/>
    <w:rsid w:val="48D41426"/>
    <w:rsid w:val="48E53DD5"/>
    <w:rsid w:val="49047811"/>
    <w:rsid w:val="491B63FA"/>
    <w:rsid w:val="492B224B"/>
    <w:rsid w:val="493D3D7B"/>
    <w:rsid w:val="4954243E"/>
    <w:rsid w:val="497919EA"/>
    <w:rsid w:val="497F7A8D"/>
    <w:rsid w:val="4982130B"/>
    <w:rsid w:val="49822E3E"/>
    <w:rsid w:val="49C36B95"/>
    <w:rsid w:val="49C72ECD"/>
    <w:rsid w:val="49DF3D5B"/>
    <w:rsid w:val="49EB6CD6"/>
    <w:rsid w:val="49EE791C"/>
    <w:rsid w:val="49F0165D"/>
    <w:rsid w:val="49F044AD"/>
    <w:rsid w:val="49F30283"/>
    <w:rsid w:val="4A022BDA"/>
    <w:rsid w:val="4A082020"/>
    <w:rsid w:val="4A235481"/>
    <w:rsid w:val="4A2819C9"/>
    <w:rsid w:val="4A2B2384"/>
    <w:rsid w:val="4A676A97"/>
    <w:rsid w:val="4A981902"/>
    <w:rsid w:val="4A983369"/>
    <w:rsid w:val="4A9C4D30"/>
    <w:rsid w:val="4AC1267F"/>
    <w:rsid w:val="4AD20601"/>
    <w:rsid w:val="4AE45FA5"/>
    <w:rsid w:val="4AF3671F"/>
    <w:rsid w:val="4AF6582B"/>
    <w:rsid w:val="4B155AEC"/>
    <w:rsid w:val="4B194B48"/>
    <w:rsid w:val="4B2201D1"/>
    <w:rsid w:val="4B283328"/>
    <w:rsid w:val="4B3C20C4"/>
    <w:rsid w:val="4B694A29"/>
    <w:rsid w:val="4BBB625B"/>
    <w:rsid w:val="4BD455C2"/>
    <w:rsid w:val="4BDE7603"/>
    <w:rsid w:val="4BE46EFD"/>
    <w:rsid w:val="4BEC0057"/>
    <w:rsid w:val="4C2E0521"/>
    <w:rsid w:val="4C4149A8"/>
    <w:rsid w:val="4C453E95"/>
    <w:rsid w:val="4C7A2FBE"/>
    <w:rsid w:val="4C7F44C2"/>
    <w:rsid w:val="4C903F19"/>
    <w:rsid w:val="4C926804"/>
    <w:rsid w:val="4C9E0618"/>
    <w:rsid w:val="4CA46098"/>
    <w:rsid w:val="4CD12CB7"/>
    <w:rsid w:val="4CDC4E93"/>
    <w:rsid w:val="4D164469"/>
    <w:rsid w:val="4D190477"/>
    <w:rsid w:val="4D211549"/>
    <w:rsid w:val="4D392A0C"/>
    <w:rsid w:val="4D731F0A"/>
    <w:rsid w:val="4D82209D"/>
    <w:rsid w:val="4D8E6F1B"/>
    <w:rsid w:val="4D957DB8"/>
    <w:rsid w:val="4D9823CE"/>
    <w:rsid w:val="4DE233FA"/>
    <w:rsid w:val="4E001BD8"/>
    <w:rsid w:val="4E0B1523"/>
    <w:rsid w:val="4E4C423B"/>
    <w:rsid w:val="4E523562"/>
    <w:rsid w:val="4E596EC2"/>
    <w:rsid w:val="4E5D19B4"/>
    <w:rsid w:val="4E7E2893"/>
    <w:rsid w:val="4EB81DBF"/>
    <w:rsid w:val="4F072378"/>
    <w:rsid w:val="4F0964B1"/>
    <w:rsid w:val="4F103C3A"/>
    <w:rsid w:val="4F1234CA"/>
    <w:rsid w:val="4F1E7132"/>
    <w:rsid w:val="4F32632B"/>
    <w:rsid w:val="4F7E731F"/>
    <w:rsid w:val="4F844FAD"/>
    <w:rsid w:val="4FAC41CD"/>
    <w:rsid w:val="4FB63870"/>
    <w:rsid w:val="4FC73B0E"/>
    <w:rsid w:val="4FD20A53"/>
    <w:rsid w:val="4FDE0339"/>
    <w:rsid w:val="4FE40AC8"/>
    <w:rsid w:val="4FE75293"/>
    <w:rsid w:val="50224E57"/>
    <w:rsid w:val="50583C04"/>
    <w:rsid w:val="5072600E"/>
    <w:rsid w:val="508A5108"/>
    <w:rsid w:val="50B96239"/>
    <w:rsid w:val="50BB0D7C"/>
    <w:rsid w:val="50C230D5"/>
    <w:rsid w:val="50C2604C"/>
    <w:rsid w:val="50C272C4"/>
    <w:rsid w:val="50C52267"/>
    <w:rsid w:val="50E64A6D"/>
    <w:rsid w:val="50ED697B"/>
    <w:rsid w:val="51205F49"/>
    <w:rsid w:val="514F4CD4"/>
    <w:rsid w:val="518A3946"/>
    <w:rsid w:val="51B96890"/>
    <w:rsid w:val="51DB51B6"/>
    <w:rsid w:val="51E11383"/>
    <w:rsid w:val="51F23224"/>
    <w:rsid w:val="52036534"/>
    <w:rsid w:val="520D0B9F"/>
    <w:rsid w:val="523B7F3A"/>
    <w:rsid w:val="52434560"/>
    <w:rsid w:val="52493074"/>
    <w:rsid w:val="526D7598"/>
    <w:rsid w:val="52955E46"/>
    <w:rsid w:val="52EE122E"/>
    <w:rsid w:val="52F76DC7"/>
    <w:rsid w:val="530C733B"/>
    <w:rsid w:val="53326F2B"/>
    <w:rsid w:val="535D6F24"/>
    <w:rsid w:val="53A64F11"/>
    <w:rsid w:val="53B27BAE"/>
    <w:rsid w:val="53B3241D"/>
    <w:rsid w:val="53E34AEE"/>
    <w:rsid w:val="53F0708F"/>
    <w:rsid w:val="54155BA9"/>
    <w:rsid w:val="54A77540"/>
    <w:rsid w:val="54AA3890"/>
    <w:rsid w:val="54AB53D0"/>
    <w:rsid w:val="54AD6A7C"/>
    <w:rsid w:val="54AF02B1"/>
    <w:rsid w:val="54BA0C5C"/>
    <w:rsid w:val="54BD1B1D"/>
    <w:rsid w:val="54D869E4"/>
    <w:rsid w:val="54DE5925"/>
    <w:rsid w:val="54F73BFF"/>
    <w:rsid w:val="54FB0BA3"/>
    <w:rsid w:val="55116E68"/>
    <w:rsid w:val="55232010"/>
    <w:rsid w:val="552D319F"/>
    <w:rsid w:val="555F128C"/>
    <w:rsid w:val="55764176"/>
    <w:rsid w:val="55822DAE"/>
    <w:rsid w:val="55956391"/>
    <w:rsid w:val="55A13EC2"/>
    <w:rsid w:val="55AA0554"/>
    <w:rsid w:val="55AB0599"/>
    <w:rsid w:val="55BF0F9B"/>
    <w:rsid w:val="55C82E54"/>
    <w:rsid w:val="55D17195"/>
    <w:rsid w:val="55D8743A"/>
    <w:rsid w:val="55E616E5"/>
    <w:rsid w:val="55EB5124"/>
    <w:rsid w:val="55F80FE3"/>
    <w:rsid w:val="560851AA"/>
    <w:rsid w:val="560C4EBA"/>
    <w:rsid w:val="56884725"/>
    <w:rsid w:val="5692105A"/>
    <w:rsid w:val="56AA1A7E"/>
    <w:rsid w:val="56B01A89"/>
    <w:rsid w:val="56DF1904"/>
    <w:rsid w:val="56EC023C"/>
    <w:rsid w:val="56F27421"/>
    <w:rsid w:val="56F546AE"/>
    <w:rsid w:val="570A43CC"/>
    <w:rsid w:val="573D6A40"/>
    <w:rsid w:val="57466477"/>
    <w:rsid w:val="5747128A"/>
    <w:rsid w:val="57656DE8"/>
    <w:rsid w:val="576612FF"/>
    <w:rsid w:val="576737C3"/>
    <w:rsid w:val="579466DB"/>
    <w:rsid w:val="57953489"/>
    <w:rsid w:val="579D1AB6"/>
    <w:rsid w:val="579F107C"/>
    <w:rsid w:val="57B50333"/>
    <w:rsid w:val="57DB1AA5"/>
    <w:rsid w:val="57E83814"/>
    <w:rsid w:val="581D3B71"/>
    <w:rsid w:val="58313E9B"/>
    <w:rsid w:val="584F1CC3"/>
    <w:rsid w:val="58934F8C"/>
    <w:rsid w:val="589560CF"/>
    <w:rsid w:val="58BB051D"/>
    <w:rsid w:val="58D14954"/>
    <w:rsid w:val="590A348D"/>
    <w:rsid w:val="591A2EF2"/>
    <w:rsid w:val="59292035"/>
    <w:rsid w:val="59395300"/>
    <w:rsid w:val="594322F8"/>
    <w:rsid w:val="596B5DBD"/>
    <w:rsid w:val="59715822"/>
    <w:rsid w:val="597C1264"/>
    <w:rsid w:val="599A78E0"/>
    <w:rsid w:val="59C71AA8"/>
    <w:rsid w:val="59CC1F2D"/>
    <w:rsid w:val="59DD4594"/>
    <w:rsid w:val="59FB6D28"/>
    <w:rsid w:val="5A100333"/>
    <w:rsid w:val="5A366373"/>
    <w:rsid w:val="5A3E7127"/>
    <w:rsid w:val="5A44468C"/>
    <w:rsid w:val="5A4B7B39"/>
    <w:rsid w:val="5A504E48"/>
    <w:rsid w:val="5A6F2BC4"/>
    <w:rsid w:val="5A7D0C9E"/>
    <w:rsid w:val="5AC52974"/>
    <w:rsid w:val="5AEB3E5A"/>
    <w:rsid w:val="5B015525"/>
    <w:rsid w:val="5B08225B"/>
    <w:rsid w:val="5B0A28AE"/>
    <w:rsid w:val="5B160326"/>
    <w:rsid w:val="5B1C2ED4"/>
    <w:rsid w:val="5B232DBE"/>
    <w:rsid w:val="5B2D078C"/>
    <w:rsid w:val="5B33665B"/>
    <w:rsid w:val="5B3369C6"/>
    <w:rsid w:val="5B3937F7"/>
    <w:rsid w:val="5B646C2C"/>
    <w:rsid w:val="5B6918B3"/>
    <w:rsid w:val="5B6E2FDB"/>
    <w:rsid w:val="5B75038D"/>
    <w:rsid w:val="5B81067A"/>
    <w:rsid w:val="5B877E4B"/>
    <w:rsid w:val="5B963A95"/>
    <w:rsid w:val="5BF51C1E"/>
    <w:rsid w:val="5C17623A"/>
    <w:rsid w:val="5C1A5FF6"/>
    <w:rsid w:val="5C82214D"/>
    <w:rsid w:val="5C832830"/>
    <w:rsid w:val="5C877834"/>
    <w:rsid w:val="5CA75FF2"/>
    <w:rsid w:val="5CB47772"/>
    <w:rsid w:val="5CBD1B56"/>
    <w:rsid w:val="5CC9597E"/>
    <w:rsid w:val="5CD46616"/>
    <w:rsid w:val="5CD9455B"/>
    <w:rsid w:val="5CDB4927"/>
    <w:rsid w:val="5CE64F99"/>
    <w:rsid w:val="5D0F32BB"/>
    <w:rsid w:val="5D43672D"/>
    <w:rsid w:val="5D4D46FA"/>
    <w:rsid w:val="5D525439"/>
    <w:rsid w:val="5D78031E"/>
    <w:rsid w:val="5D7F71B3"/>
    <w:rsid w:val="5D814CC8"/>
    <w:rsid w:val="5D875D13"/>
    <w:rsid w:val="5D8A2FA6"/>
    <w:rsid w:val="5DDA1036"/>
    <w:rsid w:val="5DE050B1"/>
    <w:rsid w:val="5DE46C25"/>
    <w:rsid w:val="5DF554EE"/>
    <w:rsid w:val="5DFB4772"/>
    <w:rsid w:val="5DFD1527"/>
    <w:rsid w:val="5DFF063C"/>
    <w:rsid w:val="5E030B0D"/>
    <w:rsid w:val="5E280D8E"/>
    <w:rsid w:val="5E7055F3"/>
    <w:rsid w:val="5E7E549A"/>
    <w:rsid w:val="5EA20866"/>
    <w:rsid w:val="5EA37FFB"/>
    <w:rsid w:val="5EBF2CDD"/>
    <w:rsid w:val="5EC5058E"/>
    <w:rsid w:val="5ED91242"/>
    <w:rsid w:val="5EEB79EC"/>
    <w:rsid w:val="5F0832BF"/>
    <w:rsid w:val="5F253ADF"/>
    <w:rsid w:val="5F3F5A62"/>
    <w:rsid w:val="5F5B5361"/>
    <w:rsid w:val="5F6B6852"/>
    <w:rsid w:val="5F7B1524"/>
    <w:rsid w:val="5F7D2184"/>
    <w:rsid w:val="5F80438D"/>
    <w:rsid w:val="5F840687"/>
    <w:rsid w:val="5F841E5D"/>
    <w:rsid w:val="5F9D388D"/>
    <w:rsid w:val="5FAA3FA3"/>
    <w:rsid w:val="5FC35C2D"/>
    <w:rsid w:val="5FD73B17"/>
    <w:rsid w:val="5FF81AF9"/>
    <w:rsid w:val="60005732"/>
    <w:rsid w:val="60295A58"/>
    <w:rsid w:val="602E718C"/>
    <w:rsid w:val="603176A9"/>
    <w:rsid w:val="6049671C"/>
    <w:rsid w:val="605D3BF5"/>
    <w:rsid w:val="607A6C15"/>
    <w:rsid w:val="60932051"/>
    <w:rsid w:val="60C33B20"/>
    <w:rsid w:val="60CE3E63"/>
    <w:rsid w:val="60DD6340"/>
    <w:rsid w:val="60E3607C"/>
    <w:rsid w:val="60FA3C8B"/>
    <w:rsid w:val="61006E4D"/>
    <w:rsid w:val="61072D78"/>
    <w:rsid w:val="61247B34"/>
    <w:rsid w:val="61281E47"/>
    <w:rsid w:val="612C0D28"/>
    <w:rsid w:val="6172428B"/>
    <w:rsid w:val="61907E0F"/>
    <w:rsid w:val="61A118DC"/>
    <w:rsid w:val="61A14D84"/>
    <w:rsid w:val="61B56CEE"/>
    <w:rsid w:val="61B74558"/>
    <w:rsid w:val="61BA1537"/>
    <w:rsid w:val="6210413A"/>
    <w:rsid w:val="62125A81"/>
    <w:rsid w:val="6219169D"/>
    <w:rsid w:val="62442F33"/>
    <w:rsid w:val="6274538F"/>
    <w:rsid w:val="62800D3F"/>
    <w:rsid w:val="6295522C"/>
    <w:rsid w:val="62CE1C02"/>
    <w:rsid w:val="62E81E71"/>
    <w:rsid w:val="62F96342"/>
    <w:rsid w:val="63133954"/>
    <w:rsid w:val="63144DBA"/>
    <w:rsid w:val="631D3A40"/>
    <w:rsid w:val="631F37A8"/>
    <w:rsid w:val="63502238"/>
    <w:rsid w:val="6353769B"/>
    <w:rsid w:val="63593BE4"/>
    <w:rsid w:val="63660343"/>
    <w:rsid w:val="6366503D"/>
    <w:rsid w:val="636764E1"/>
    <w:rsid w:val="63745686"/>
    <w:rsid w:val="637574A3"/>
    <w:rsid w:val="637A170F"/>
    <w:rsid w:val="638D1114"/>
    <w:rsid w:val="63BB0056"/>
    <w:rsid w:val="63BF25DB"/>
    <w:rsid w:val="63D30B4A"/>
    <w:rsid w:val="63DF5CC9"/>
    <w:rsid w:val="63E41F3D"/>
    <w:rsid w:val="63E50918"/>
    <w:rsid w:val="64062706"/>
    <w:rsid w:val="64070DBB"/>
    <w:rsid w:val="640B201A"/>
    <w:rsid w:val="640F7479"/>
    <w:rsid w:val="642A6F3E"/>
    <w:rsid w:val="645A0E2E"/>
    <w:rsid w:val="6466615E"/>
    <w:rsid w:val="647212A1"/>
    <w:rsid w:val="648379D1"/>
    <w:rsid w:val="64E71F99"/>
    <w:rsid w:val="64EA3B37"/>
    <w:rsid w:val="65301304"/>
    <w:rsid w:val="65411677"/>
    <w:rsid w:val="655A52D3"/>
    <w:rsid w:val="656D3F94"/>
    <w:rsid w:val="657314ED"/>
    <w:rsid w:val="65987919"/>
    <w:rsid w:val="659D00B0"/>
    <w:rsid w:val="65A01FAB"/>
    <w:rsid w:val="65CB63BA"/>
    <w:rsid w:val="660122E4"/>
    <w:rsid w:val="660619EA"/>
    <w:rsid w:val="6627079C"/>
    <w:rsid w:val="662D5327"/>
    <w:rsid w:val="66306C8A"/>
    <w:rsid w:val="66391546"/>
    <w:rsid w:val="663D78E0"/>
    <w:rsid w:val="66860756"/>
    <w:rsid w:val="66B867B2"/>
    <w:rsid w:val="66BE05B7"/>
    <w:rsid w:val="66C22B3B"/>
    <w:rsid w:val="66FA56E6"/>
    <w:rsid w:val="6722369B"/>
    <w:rsid w:val="673509CB"/>
    <w:rsid w:val="67604A4F"/>
    <w:rsid w:val="67637E0E"/>
    <w:rsid w:val="679D43F1"/>
    <w:rsid w:val="679D490D"/>
    <w:rsid w:val="67AA28C9"/>
    <w:rsid w:val="67AF7FBD"/>
    <w:rsid w:val="67B23526"/>
    <w:rsid w:val="67C842ED"/>
    <w:rsid w:val="67DF51AB"/>
    <w:rsid w:val="67E747AF"/>
    <w:rsid w:val="681856BC"/>
    <w:rsid w:val="68302170"/>
    <w:rsid w:val="683F219D"/>
    <w:rsid w:val="683F4142"/>
    <w:rsid w:val="6847006E"/>
    <w:rsid w:val="68791CBD"/>
    <w:rsid w:val="68C254F2"/>
    <w:rsid w:val="68D92640"/>
    <w:rsid w:val="68F02D99"/>
    <w:rsid w:val="68F75346"/>
    <w:rsid w:val="68FD5E21"/>
    <w:rsid w:val="69112C0F"/>
    <w:rsid w:val="69132743"/>
    <w:rsid w:val="691533F0"/>
    <w:rsid w:val="691B7296"/>
    <w:rsid w:val="69204681"/>
    <w:rsid w:val="692066C0"/>
    <w:rsid w:val="692312E7"/>
    <w:rsid w:val="695A7175"/>
    <w:rsid w:val="696827D9"/>
    <w:rsid w:val="696B7F62"/>
    <w:rsid w:val="699A7B73"/>
    <w:rsid w:val="69D3590D"/>
    <w:rsid w:val="69DB5F06"/>
    <w:rsid w:val="69F5693C"/>
    <w:rsid w:val="6A0B238D"/>
    <w:rsid w:val="6A151638"/>
    <w:rsid w:val="6A350C4E"/>
    <w:rsid w:val="6A3550F2"/>
    <w:rsid w:val="6A4A5603"/>
    <w:rsid w:val="6A677DA2"/>
    <w:rsid w:val="6AD0261B"/>
    <w:rsid w:val="6AF9509A"/>
    <w:rsid w:val="6B0C35B5"/>
    <w:rsid w:val="6B0D7448"/>
    <w:rsid w:val="6B1612E0"/>
    <w:rsid w:val="6B3A3D31"/>
    <w:rsid w:val="6B4D3568"/>
    <w:rsid w:val="6B7427A4"/>
    <w:rsid w:val="6B9A4784"/>
    <w:rsid w:val="6BC33FBD"/>
    <w:rsid w:val="6BC4672D"/>
    <w:rsid w:val="6BD60F99"/>
    <w:rsid w:val="6BDA59CC"/>
    <w:rsid w:val="6BDD7130"/>
    <w:rsid w:val="6BF04777"/>
    <w:rsid w:val="6C004D28"/>
    <w:rsid w:val="6C1B2C91"/>
    <w:rsid w:val="6C4924BE"/>
    <w:rsid w:val="6C4C19CD"/>
    <w:rsid w:val="6C535E03"/>
    <w:rsid w:val="6C544A2D"/>
    <w:rsid w:val="6C8B22EF"/>
    <w:rsid w:val="6CA63E1B"/>
    <w:rsid w:val="6CD17B72"/>
    <w:rsid w:val="6CDF5C31"/>
    <w:rsid w:val="6CFC7260"/>
    <w:rsid w:val="6D0C7042"/>
    <w:rsid w:val="6D0D4AC4"/>
    <w:rsid w:val="6D181E6C"/>
    <w:rsid w:val="6D2608C2"/>
    <w:rsid w:val="6D2C7A06"/>
    <w:rsid w:val="6D540375"/>
    <w:rsid w:val="6D7604CC"/>
    <w:rsid w:val="6D8329D5"/>
    <w:rsid w:val="6D91774B"/>
    <w:rsid w:val="6DA62390"/>
    <w:rsid w:val="6DA9060E"/>
    <w:rsid w:val="6DB0362D"/>
    <w:rsid w:val="6DB37E6E"/>
    <w:rsid w:val="6DBC619D"/>
    <w:rsid w:val="6DBD2325"/>
    <w:rsid w:val="6DCA223F"/>
    <w:rsid w:val="6DD21D37"/>
    <w:rsid w:val="6DD31ABE"/>
    <w:rsid w:val="6DEC10DF"/>
    <w:rsid w:val="6DFC5229"/>
    <w:rsid w:val="6E076937"/>
    <w:rsid w:val="6E0F195E"/>
    <w:rsid w:val="6E1C180F"/>
    <w:rsid w:val="6E3A380B"/>
    <w:rsid w:val="6E5060DE"/>
    <w:rsid w:val="6E823B4F"/>
    <w:rsid w:val="6E9D4FBA"/>
    <w:rsid w:val="6EBC7446"/>
    <w:rsid w:val="6ED93B46"/>
    <w:rsid w:val="6EE16617"/>
    <w:rsid w:val="6F0B6421"/>
    <w:rsid w:val="6F1451BF"/>
    <w:rsid w:val="6F3B52AD"/>
    <w:rsid w:val="6F5E2A85"/>
    <w:rsid w:val="6FA362EF"/>
    <w:rsid w:val="6FB23019"/>
    <w:rsid w:val="6FBD15F6"/>
    <w:rsid w:val="6FFC2ED7"/>
    <w:rsid w:val="70385727"/>
    <w:rsid w:val="70425C8B"/>
    <w:rsid w:val="70515743"/>
    <w:rsid w:val="70533A83"/>
    <w:rsid w:val="70655116"/>
    <w:rsid w:val="70680623"/>
    <w:rsid w:val="70864E24"/>
    <w:rsid w:val="708C31A9"/>
    <w:rsid w:val="7090642C"/>
    <w:rsid w:val="709212DE"/>
    <w:rsid w:val="709570DD"/>
    <w:rsid w:val="70C300AE"/>
    <w:rsid w:val="70C40067"/>
    <w:rsid w:val="70E4096D"/>
    <w:rsid w:val="710F3BFE"/>
    <w:rsid w:val="711D73B2"/>
    <w:rsid w:val="71443991"/>
    <w:rsid w:val="71473CA5"/>
    <w:rsid w:val="715C1864"/>
    <w:rsid w:val="71793B16"/>
    <w:rsid w:val="7186331A"/>
    <w:rsid w:val="71952E0D"/>
    <w:rsid w:val="71E870CB"/>
    <w:rsid w:val="71FB452B"/>
    <w:rsid w:val="72257041"/>
    <w:rsid w:val="722A01C4"/>
    <w:rsid w:val="72372A0D"/>
    <w:rsid w:val="723772BA"/>
    <w:rsid w:val="72446FAD"/>
    <w:rsid w:val="72752852"/>
    <w:rsid w:val="727D6B25"/>
    <w:rsid w:val="728D2865"/>
    <w:rsid w:val="72A308ED"/>
    <w:rsid w:val="73036ED9"/>
    <w:rsid w:val="7310397F"/>
    <w:rsid w:val="73145A49"/>
    <w:rsid w:val="731D0E77"/>
    <w:rsid w:val="731F39CB"/>
    <w:rsid w:val="73210813"/>
    <w:rsid w:val="73311456"/>
    <w:rsid w:val="73354155"/>
    <w:rsid w:val="733C4DFB"/>
    <w:rsid w:val="73563A14"/>
    <w:rsid w:val="735C36EF"/>
    <w:rsid w:val="73611F4B"/>
    <w:rsid w:val="73797943"/>
    <w:rsid w:val="7391467F"/>
    <w:rsid w:val="739A381F"/>
    <w:rsid w:val="73A502AD"/>
    <w:rsid w:val="73C20185"/>
    <w:rsid w:val="73CB708C"/>
    <w:rsid w:val="73D15043"/>
    <w:rsid w:val="73F83644"/>
    <w:rsid w:val="74001804"/>
    <w:rsid w:val="74116938"/>
    <w:rsid w:val="741E116A"/>
    <w:rsid w:val="743E597C"/>
    <w:rsid w:val="7444734A"/>
    <w:rsid w:val="74483B8E"/>
    <w:rsid w:val="744D5476"/>
    <w:rsid w:val="74517039"/>
    <w:rsid w:val="74716AC4"/>
    <w:rsid w:val="747C24EA"/>
    <w:rsid w:val="7483700E"/>
    <w:rsid w:val="74912D71"/>
    <w:rsid w:val="74AE541B"/>
    <w:rsid w:val="74C90272"/>
    <w:rsid w:val="74D53759"/>
    <w:rsid w:val="74FB76EC"/>
    <w:rsid w:val="75081413"/>
    <w:rsid w:val="751C4F54"/>
    <w:rsid w:val="75517615"/>
    <w:rsid w:val="756F0925"/>
    <w:rsid w:val="75E55C5B"/>
    <w:rsid w:val="75E57745"/>
    <w:rsid w:val="75E93FB4"/>
    <w:rsid w:val="7602143A"/>
    <w:rsid w:val="76113301"/>
    <w:rsid w:val="76124539"/>
    <w:rsid w:val="76265CCF"/>
    <w:rsid w:val="7638174E"/>
    <w:rsid w:val="76431AD7"/>
    <w:rsid w:val="76480E06"/>
    <w:rsid w:val="764B2DBE"/>
    <w:rsid w:val="764D00E6"/>
    <w:rsid w:val="766B124B"/>
    <w:rsid w:val="767F7476"/>
    <w:rsid w:val="768D3A2B"/>
    <w:rsid w:val="769230E1"/>
    <w:rsid w:val="76A224E8"/>
    <w:rsid w:val="76CF0179"/>
    <w:rsid w:val="76E52F7D"/>
    <w:rsid w:val="76EF1939"/>
    <w:rsid w:val="76F2760E"/>
    <w:rsid w:val="770703E9"/>
    <w:rsid w:val="770B0067"/>
    <w:rsid w:val="770F0584"/>
    <w:rsid w:val="771414BC"/>
    <w:rsid w:val="77796845"/>
    <w:rsid w:val="777A5054"/>
    <w:rsid w:val="779903C7"/>
    <w:rsid w:val="779C0889"/>
    <w:rsid w:val="77BB3878"/>
    <w:rsid w:val="77BF5844"/>
    <w:rsid w:val="77C04848"/>
    <w:rsid w:val="77C44758"/>
    <w:rsid w:val="78063592"/>
    <w:rsid w:val="780846DD"/>
    <w:rsid w:val="780E124A"/>
    <w:rsid w:val="781211B3"/>
    <w:rsid w:val="78311FF9"/>
    <w:rsid w:val="78CB25D4"/>
    <w:rsid w:val="78D21800"/>
    <w:rsid w:val="78DB2CEF"/>
    <w:rsid w:val="78FF4C83"/>
    <w:rsid w:val="793D71BC"/>
    <w:rsid w:val="7951224E"/>
    <w:rsid w:val="79532039"/>
    <w:rsid w:val="796E4E17"/>
    <w:rsid w:val="796E6C59"/>
    <w:rsid w:val="7975660E"/>
    <w:rsid w:val="797A665F"/>
    <w:rsid w:val="79AC0800"/>
    <w:rsid w:val="79B378B6"/>
    <w:rsid w:val="79BB583A"/>
    <w:rsid w:val="79CC49FF"/>
    <w:rsid w:val="79DC4FC5"/>
    <w:rsid w:val="7A2C5E4B"/>
    <w:rsid w:val="7A497292"/>
    <w:rsid w:val="7A4F2DB3"/>
    <w:rsid w:val="7A594FBA"/>
    <w:rsid w:val="7A5B1910"/>
    <w:rsid w:val="7A722C0B"/>
    <w:rsid w:val="7A860DEE"/>
    <w:rsid w:val="7AAC41D6"/>
    <w:rsid w:val="7AC70248"/>
    <w:rsid w:val="7ACF3D39"/>
    <w:rsid w:val="7AD71133"/>
    <w:rsid w:val="7ADC162B"/>
    <w:rsid w:val="7AE11827"/>
    <w:rsid w:val="7AE7753B"/>
    <w:rsid w:val="7B4101AD"/>
    <w:rsid w:val="7B410B65"/>
    <w:rsid w:val="7B5A1174"/>
    <w:rsid w:val="7B8F1C67"/>
    <w:rsid w:val="7BA354E3"/>
    <w:rsid w:val="7BC62285"/>
    <w:rsid w:val="7BCE2CB0"/>
    <w:rsid w:val="7BDE7D94"/>
    <w:rsid w:val="7BF12D51"/>
    <w:rsid w:val="7C0256B7"/>
    <w:rsid w:val="7C1F0C00"/>
    <w:rsid w:val="7C2C5660"/>
    <w:rsid w:val="7C436C9E"/>
    <w:rsid w:val="7C556631"/>
    <w:rsid w:val="7C5654EB"/>
    <w:rsid w:val="7C624B36"/>
    <w:rsid w:val="7C65083D"/>
    <w:rsid w:val="7C9A39C6"/>
    <w:rsid w:val="7CAD360E"/>
    <w:rsid w:val="7CB41119"/>
    <w:rsid w:val="7CDE1BBE"/>
    <w:rsid w:val="7CE51CA0"/>
    <w:rsid w:val="7D206CE4"/>
    <w:rsid w:val="7D3725E6"/>
    <w:rsid w:val="7D3B5470"/>
    <w:rsid w:val="7D447ABA"/>
    <w:rsid w:val="7D4D7C2F"/>
    <w:rsid w:val="7D5A6476"/>
    <w:rsid w:val="7D603B3A"/>
    <w:rsid w:val="7D671D98"/>
    <w:rsid w:val="7D6C4C47"/>
    <w:rsid w:val="7DCC35EF"/>
    <w:rsid w:val="7DF01A7A"/>
    <w:rsid w:val="7DFB2AF4"/>
    <w:rsid w:val="7DFF2481"/>
    <w:rsid w:val="7E113043"/>
    <w:rsid w:val="7E461717"/>
    <w:rsid w:val="7E47600B"/>
    <w:rsid w:val="7E4F189A"/>
    <w:rsid w:val="7E785182"/>
    <w:rsid w:val="7E7F3865"/>
    <w:rsid w:val="7EA83397"/>
    <w:rsid w:val="7EAB2DDC"/>
    <w:rsid w:val="7EBB6105"/>
    <w:rsid w:val="7EDE6965"/>
    <w:rsid w:val="7EF737B0"/>
    <w:rsid w:val="7EFB740A"/>
    <w:rsid w:val="7F1964ED"/>
    <w:rsid w:val="7F1E5CFC"/>
    <w:rsid w:val="7F227EE5"/>
    <w:rsid w:val="7F247FAB"/>
    <w:rsid w:val="7F2E6DC7"/>
    <w:rsid w:val="7F3D348E"/>
    <w:rsid w:val="7F3E5EE6"/>
    <w:rsid w:val="7F441ACE"/>
    <w:rsid w:val="7F636867"/>
    <w:rsid w:val="7F8F4D31"/>
    <w:rsid w:val="7F9D3ABA"/>
    <w:rsid w:val="7FA0652F"/>
    <w:rsid w:val="7FA47AB3"/>
    <w:rsid w:val="7FB43E4F"/>
    <w:rsid w:val="7FCB4B03"/>
    <w:rsid w:val="7FE54367"/>
    <w:rsid w:val="7FED3E31"/>
    <w:rsid w:val="7FEF41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snapToGrid/>
      <w:spacing w:line="324" w:lineRule="auto"/>
      <w:ind w:firstLine="562" w:firstLineChars="200"/>
      <w:jc w:val="both"/>
      <w:textAlignment w:val="baseline"/>
    </w:pPr>
    <w:rPr>
      <w:rFonts w:ascii="Times New Roman" w:hAnsi="Times New Roman" w:eastAsia="宋体" w:cs="Times New Roman"/>
      <w:snapToGrid w:val="0"/>
      <w:color w:val="000000"/>
      <w:kern w:val="0"/>
      <w:sz w:val="24"/>
      <w:szCs w:val="24"/>
      <w:lang w:val="en-US" w:eastAsia="en-US" w:bidi="ar-SA"/>
    </w:rPr>
  </w:style>
  <w:style w:type="paragraph" w:styleId="2">
    <w:name w:val="heading 1"/>
    <w:next w:val="1"/>
    <w:link w:val="18"/>
    <w:qFormat/>
    <w:uiPriority w:val="0"/>
    <w:pPr>
      <w:keepNext/>
      <w:keepLines/>
      <w:spacing w:beforeLines="0" w:beforeAutospacing="0" w:after="50" w:afterLines="50" w:afterAutospacing="0" w:line="360" w:lineRule="auto"/>
      <w:ind w:firstLine="0" w:firstLineChars="0"/>
      <w:jc w:val="center"/>
      <w:outlineLvl w:val="0"/>
    </w:pPr>
    <w:rPr>
      <w:rFonts w:ascii="Times New Roman" w:hAnsi="Times New Roman" w:eastAsia="宋体" w:cs="Times New Roman"/>
      <w:b/>
      <w:bCs/>
      <w:kern w:val="44"/>
      <w:sz w:val="32"/>
      <w:szCs w:val="32"/>
    </w:rPr>
  </w:style>
  <w:style w:type="paragraph" w:styleId="3">
    <w:name w:val="heading 2"/>
    <w:next w:val="1"/>
    <w:link w:val="19"/>
    <w:unhideWhenUsed/>
    <w:qFormat/>
    <w:uiPriority w:val="0"/>
    <w:pPr>
      <w:keepNext/>
      <w:keepLines/>
      <w:spacing w:beforeLines="0" w:beforeAutospacing="0" w:after="50" w:afterLines="50" w:afterAutospacing="0" w:line="360" w:lineRule="auto"/>
      <w:ind w:firstLine="0" w:firstLineChars="0"/>
      <w:jc w:val="center"/>
      <w:outlineLvl w:val="1"/>
    </w:pPr>
    <w:rPr>
      <w:rFonts w:ascii="Times New Roman" w:hAnsi="Times New Roman" w:eastAsia="宋体" w:cs="Times New Roman"/>
      <w:b/>
      <w:bCs/>
      <w:sz w:val="30"/>
      <w:szCs w:val="30"/>
    </w:rPr>
  </w:style>
  <w:style w:type="paragraph" w:styleId="4">
    <w:name w:val="heading 3"/>
    <w:basedOn w:val="1"/>
    <w:next w:val="1"/>
    <w:unhideWhenUsed/>
    <w:qFormat/>
    <w:uiPriority w:val="0"/>
    <w:pPr>
      <w:spacing w:before="0" w:beforeAutospacing="0" w:after="10" w:afterAutospacing="0"/>
      <w:ind w:firstLine="0" w:firstLineChars="0"/>
      <w:jc w:val="left"/>
      <w:outlineLvl w:val="2"/>
    </w:pPr>
    <w:rPr>
      <w:rFonts w:hint="eastAsia" w:ascii="Times New Roman" w:hAnsi="Times New Roman" w:eastAsia="宋体" w:cs="Times New Roman"/>
      <w:b/>
      <w:bCs/>
      <w:kern w:val="0"/>
      <w:sz w:val="28"/>
      <w:szCs w:val="28"/>
      <w:lang w:bidi="ar"/>
    </w:rPr>
  </w:style>
  <w:style w:type="paragraph" w:styleId="5">
    <w:name w:val="heading 4"/>
    <w:basedOn w:val="1"/>
    <w:next w:val="1"/>
    <w:link w:val="16"/>
    <w:unhideWhenUsed/>
    <w:qFormat/>
    <w:uiPriority w:val="0"/>
    <w:pPr>
      <w:spacing w:before="0" w:beforeAutospacing="0" w:after="0" w:afterAutospacing="0"/>
      <w:ind w:firstLine="0" w:firstLineChars="0"/>
      <w:jc w:val="left"/>
      <w:outlineLvl w:val="3"/>
    </w:pPr>
    <w:rPr>
      <w:rFonts w:hint="eastAsia" w:ascii="Times New Roman" w:hAnsi="Times New Roman" w:eastAsia="宋体"/>
      <w:kern w:val="0"/>
      <w:sz w:val="28"/>
      <w:szCs w:val="28"/>
      <w:lang w:bidi="ar"/>
    </w:rPr>
  </w:style>
  <w:style w:type="paragraph" w:styleId="6">
    <w:name w:val="heading 5"/>
    <w:basedOn w:val="1"/>
    <w:next w:val="1"/>
    <w:link w:val="17"/>
    <w:semiHidden/>
    <w:unhideWhenUsed/>
    <w:qFormat/>
    <w:uiPriority w:val="0"/>
    <w:pPr>
      <w:keepNext/>
      <w:keepLines/>
      <w:spacing w:before="50" w:beforeLines="50" w:beforeAutospacing="0" w:after="50" w:afterLines="50" w:afterAutospacing="0" w:line="360" w:lineRule="auto"/>
      <w:ind w:firstLine="0" w:firstLineChars="0"/>
      <w:outlineLvl w:val="4"/>
    </w:pPr>
    <w:rPr>
      <w:rFonts w:ascii="Times New Roman" w:hAnsi="Times New Roman" w:eastAsia="宋体"/>
      <w:sz w:val="24"/>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7">
    <w:name w:val="caption"/>
    <w:basedOn w:val="1"/>
    <w:next w:val="1"/>
    <w:link w:val="14"/>
    <w:semiHidden/>
    <w:unhideWhenUsed/>
    <w:qFormat/>
    <w:uiPriority w:val="0"/>
    <w:pPr>
      <w:widowControl w:val="0"/>
      <w:spacing w:line="360" w:lineRule="auto"/>
      <w:ind w:firstLine="0" w:firstLineChars="0"/>
      <w:jc w:val="center"/>
    </w:pPr>
    <w:rPr>
      <w:rFonts w:ascii="Times New Roman" w:hAnsi="Times New Roman" w:eastAsia="宋体" w:cs="Times New Roman"/>
      <w:sz w:val="21"/>
      <w:szCs w:val="21"/>
    </w:rPr>
  </w:style>
  <w:style w:type="paragraph" w:styleId="8">
    <w:name w:val="Body Text"/>
    <w:basedOn w:val="1"/>
    <w:qFormat/>
    <w:uiPriority w:val="0"/>
    <w:pPr>
      <w:jc w:val="both"/>
    </w:pPr>
    <w:rPr>
      <w:rFonts w:ascii="Calibri" w:hAnsi="Calibri" w:eastAsia="宋体" w:cstheme="minorBidi"/>
    </w:rPr>
  </w:style>
  <w:style w:type="paragraph" w:styleId="9">
    <w:name w:val="Normal (Web)"/>
    <w:basedOn w:val="1"/>
    <w:next w:val="1"/>
    <w:qFormat/>
    <w:uiPriority w:val="0"/>
    <w:pPr>
      <w:spacing w:before="0" w:beforeAutospacing="0" w:after="0" w:afterAutospacing="0"/>
      <w:ind w:left="0" w:right="0"/>
      <w:jc w:val="left"/>
    </w:pPr>
    <w:rPr>
      <w:rFonts w:ascii="Times New Roman" w:hAnsi="Times New Roman" w:eastAsia="宋体"/>
      <w:kern w:val="0"/>
      <w:lang w:bidi="ar"/>
    </w:rPr>
  </w:style>
  <w:style w:type="paragraph" w:styleId="10">
    <w:name w:val="Title"/>
    <w:next w:val="1"/>
    <w:qFormat/>
    <w:uiPriority w:val="0"/>
    <w:pPr>
      <w:jc w:val="center"/>
      <w:outlineLvl w:val="0"/>
    </w:pPr>
    <w:rPr>
      <w:rFonts w:ascii="方正小标宋_GBK" w:hAnsi="方正小标宋_GBK" w:cs="方正小标宋_GBK" w:eastAsiaTheme="minorAscii"/>
      <w:sz w:val="44"/>
      <w:szCs w:val="44"/>
    </w:rPr>
  </w:style>
  <w:style w:type="paragraph" w:customStyle="1" w:styleId="13">
    <w:name w:val="表格"/>
    <w:basedOn w:val="1"/>
    <w:qFormat/>
    <w:uiPriority w:val="0"/>
    <w:pPr>
      <w:ind w:firstLine="0" w:firstLineChars="0"/>
    </w:pPr>
    <w:rPr>
      <w:rFonts w:ascii="Times New Roman" w:hAnsi="Times New Roman" w:eastAsia="宋体"/>
    </w:rPr>
  </w:style>
  <w:style w:type="character" w:customStyle="1" w:styleId="14">
    <w:name w:val="题注 Char"/>
    <w:link w:val="7"/>
    <w:qFormat/>
    <w:uiPriority w:val="0"/>
    <w:rPr>
      <w:rFonts w:ascii="Times New Roman" w:hAnsi="Times New Roman" w:eastAsia="宋体" w:cs="Times New Roman"/>
      <w:sz w:val="21"/>
      <w:szCs w:val="21"/>
    </w:rPr>
  </w:style>
  <w:style w:type="paragraph" w:customStyle="1" w:styleId="15">
    <w:name w:val="图片"/>
    <w:basedOn w:val="1"/>
    <w:next w:val="1"/>
    <w:qFormat/>
    <w:uiPriority w:val="0"/>
    <w:pPr>
      <w:widowControl w:val="0"/>
      <w:spacing w:line="360" w:lineRule="auto"/>
      <w:ind w:firstLine="0" w:firstLineChars="0"/>
      <w:jc w:val="center"/>
    </w:pPr>
    <w:rPr>
      <w:rFonts w:ascii="Times New Roman" w:hAnsi="Times New Roman" w:eastAsia="宋体" w:cs="Times New Roman"/>
    </w:rPr>
  </w:style>
  <w:style w:type="character" w:customStyle="1" w:styleId="16">
    <w:name w:val="标题 4 Char"/>
    <w:link w:val="5"/>
    <w:qFormat/>
    <w:uiPriority w:val="0"/>
    <w:rPr>
      <w:rFonts w:ascii="Times New Roman" w:hAnsi="Times New Roman" w:eastAsia="宋体" w:cs="Times New Roman"/>
      <w:sz w:val="28"/>
      <w:szCs w:val="28"/>
    </w:rPr>
  </w:style>
  <w:style w:type="character" w:customStyle="1" w:styleId="17">
    <w:name w:val="标题 5 Char"/>
    <w:link w:val="6"/>
    <w:qFormat/>
    <w:uiPriority w:val="0"/>
    <w:rPr>
      <w:rFonts w:ascii="Times New Roman" w:hAnsi="Times New Roman" w:eastAsia="宋体"/>
      <w:sz w:val="24"/>
    </w:rPr>
  </w:style>
  <w:style w:type="character" w:customStyle="1" w:styleId="18">
    <w:name w:val="标题 1 Char"/>
    <w:link w:val="2"/>
    <w:qFormat/>
    <w:uiPriority w:val="0"/>
    <w:rPr>
      <w:rFonts w:ascii="Times New Roman" w:hAnsi="Times New Roman" w:eastAsia="宋体" w:cs="Times New Roman"/>
      <w:b/>
      <w:bCs/>
      <w:kern w:val="44"/>
      <w:sz w:val="32"/>
      <w:szCs w:val="32"/>
    </w:rPr>
  </w:style>
  <w:style w:type="character" w:customStyle="1" w:styleId="19">
    <w:name w:val="标题 2 Char"/>
    <w:link w:val="3"/>
    <w:qFormat/>
    <w:uiPriority w:val="0"/>
    <w:rPr>
      <w:rFonts w:ascii="Times New Roman" w:hAnsi="Times New Roman" w:eastAsia="宋体" w:cs="Times New Roman"/>
      <w:b/>
      <w:bCs/>
      <w:sz w:val="30"/>
      <w:szCs w:val="30"/>
    </w:rPr>
  </w:style>
  <w:style w:type="paragraph" w:customStyle="1" w:styleId="20">
    <w:name w:val="MTDisplayEquation"/>
    <w:basedOn w:val="1"/>
    <w:next w:val="1"/>
    <w:qFormat/>
    <w:uiPriority w:val="0"/>
    <w:pPr>
      <w:widowControl w:val="0"/>
      <w:tabs>
        <w:tab w:val="center" w:pos="2457"/>
        <w:tab w:val="center" w:pos="4914"/>
      </w:tabs>
      <w:jc w:val="both"/>
    </w:pPr>
    <w:rPr>
      <w:rFonts w:eastAsia="宋体"/>
      <w:kern w:val="2"/>
      <w:sz w:val="21"/>
      <w:szCs w:val="24"/>
      <w:lang w:eastAsia="zh-CN"/>
    </w:rPr>
  </w:style>
  <w:style w:type="table" w:customStyle="1" w:styleId="21">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3</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2026-01-07T01:14:00Z</dcterms:created>
  <dc:creator>WPS_1762435836</dc:creator>
  <cp:lastModifiedBy>WPS_1762435836</cp:lastModifiedBy>
  <dcterms:modified xsi:type="dcterms:W3CDTF">2026-01-07T01:23:17Z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9E2DFFC442534FAEBF30CBA419612C41_11</vt:lpwstr>
  </property>
  <property fmtid="{D5CDD505-2E9C-101B-9397-08002B2CF9AE}" pid="4" name="KSOTemplateDocerSaveRecord">
    <vt:lpwstr>eyJoZGlkIjoiNDdjZDYyODhmYjU0MWVmOGNkMzdhMTdkYzU4YTI1NDYiLCJ1c2VySWQiOiIxNzcwMTU1NjU5In0=</vt:lpwstr>
  </property>
</Properties>
</file>