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pStyle w:val="rdbvau"/>
        <w:numPr/>
        <w:jc w:val="left"/>
        <w:rPr/>
      </w:pPr>
      <w:r>
        <w:rPr/>
        <w:t>goldfinch调研</w:t>
      </w:r>
    </w:p>
    <w:p>
      <w:pPr>
        <w:pStyle w:val="rhxzls"/>
        <w:pBdr/>
        <w:rPr/>
      </w:pPr>
      <w:r>
        <w:rPr/>
        <w:t>1 简介</w:t>
      </w:r>
    </w:p>
    <w:p>
      <w:pPr>
        <w:pStyle w:val="ablt93"/>
        <w:numPr/>
        <w:pBdr>
          <w:bottom/>
        </w:pBdr>
        <w:rPr>
          <w:i w:val="false"/>
          <w:strike w:val="false"/>
          <w:color w:val="000000"/>
          <w:u w:val="none"/>
        </w:rPr>
      </w:pPr>
      <w:r>
        <w:rPr>
          <w:i w:val="false"/>
          <w:strike w:val="false"/>
          <w:color w:val="000000"/>
          <w:u w:val="none"/>
        </w:rPr>
        <w:t>Goldfinch 是一种去中心化信贷协议，允许在没有抵押品的情况下进行加密货币借贷。</w:t>
      </w:r>
    </w:p>
    <w:p>
      <w:pPr>
        <w:pStyle w:val="ablt93"/>
        <w:pBdr>
          <w:bottom/>
        </w:pBdr>
        <w:jc w:val="center"/>
        <w:rPr/>
      </w:pPr>
      <w:r>
        <w:rPr>
          <w:shd/>
        </w:rPr>
        <w:drawing>
          <wp:inline distT="0" distB="0" distL="0" distR="0">
            <wp:extent cx="4746625" cy="6210167"/>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rcRect l="0" t="0" r="0" b="0"/>
                    <a:stretch/>
                  </pic:blipFill>
                  <pic:spPr>
                    <a:xfrm rot="0">
                      <a:off x="0" y="0"/>
                      <a:ext cx="4746625" cy="6210167"/>
                    </a:xfrm>
                    <a:prstGeom prst="rect">
                      <a:avLst/>
                    </a:prstGeom>
                  </pic:spPr>
                </pic:pic>
              </a:graphicData>
            </a:graphic>
          </wp:inline>
        </w:drawing>
      </w:r>
    </w:p>
    <w:p>
      <w:pPr>
        <w:pStyle w:val="pqfe38"/>
        <w:pBdr/>
        <w:rPr/>
      </w:pPr>
      <w:r>
        <w:rPr/>
        <w:t>1.</w:t>
      </w:r>
      <w:r>
        <w:rPr/>
        <w:t>1</w:t>
      </w:r>
      <w:r>
        <w:rPr/>
        <w:t xml:space="preserve"> </w:t>
      </w:r>
      <w:r>
        <w:rPr/>
        <w:t>参与者</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四个关键参与方：审计者（Auditors）、支持者（Backers）、流动性提供者(Liquidity Providers)和借款人（Borrowers）。</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1）</w:t>
      </w:r>
      <w:r>
        <w:rPr>
          <w:rFonts w:ascii="" w:hAnsi="" w:eastAsia="" w:cs=""/>
          <w:b/>
          <w:i w:val="false"/>
          <w:strike w:val="false"/>
          <w:color w:val="000000"/>
          <w:sz w:val="22"/>
          <w:u w:val="none"/>
        </w:rPr>
        <w:t>审计者（Auditors）</w:t>
      </w:r>
      <w:r>
        <w:rPr>
          <w:rFonts w:ascii="" w:hAnsi="" w:eastAsia="" w:cs=""/>
          <w:i w:val="false"/>
          <w:strike w:val="false"/>
          <w:color w:val="000000"/>
          <w:sz w:val="22"/>
          <w:u w:val="none"/>
        </w:rPr>
        <w:t>：被随机分配去审计借款人是否是本人。当然，他们必须质押GFI代币，并通过Goldfinch称为“唯一实体检查”的验证。为了激励审计者诚实行事，他们会收到一笔GFI奖励。</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2）</w:t>
      </w:r>
      <w:r>
        <w:rPr>
          <w:rFonts w:ascii="" w:hAnsi="" w:eastAsia="" w:cs=""/>
          <w:b/>
          <w:i w:val="false"/>
          <w:strike w:val="false"/>
          <w:color w:val="000000"/>
          <w:sz w:val="22"/>
          <w:u w:val="none"/>
        </w:rPr>
        <w:t>支持者（Backers）</w:t>
      </w:r>
      <w:r>
        <w:rPr>
          <w:rFonts w:ascii="" w:hAnsi="" w:eastAsia="" w:cs=""/>
          <w:i w:val="false"/>
          <w:strike w:val="false"/>
          <w:color w:val="000000"/>
          <w:sz w:val="22"/>
          <w:u w:val="none"/>
        </w:rPr>
        <w:t>：评估借款人池，然后决定是否提供资金。在评估申请人和提供资金方面，这些支持者获得高于流动性提供者的APY激励。然而，他们承担比流动性提供者更多风险，因为他们提供的是第一损失资本(first-loss capital)。这意味着如果贷款违约，他们的资本是第一个损失的。代币-PoolToken</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3）</w:t>
      </w:r>
      <w:r>
        <w:rPr>
          <w:rFonts w:ascii="" w:hAnsi="" w:eastAsia="" w:cs=""/>
          <w:b/>
          <w:i w:val="false"/>
          <w:strike w:val="false"/>
          <w:color w:val="000000"/>
          <w:sz w:val="22"/>
          <w:u w:val="none"/>
        </w:rPr>
        <w:t>流动性提供者(Liquidity Providers)</w:t>
      </w:r>
      <w:r>
        <w:rPr>
          <w:rFonts w:ascii="" w:hAnsi="" w:eastAsia="" w:cs=""/>
          <w:i w:val="false"/>
          <w:strike w:val="false"/>
          <w:color w:val="000000"/>
          <w:sz w:val="22"/>
          <w:u w:val="none"/>
        </w:rPr>
        <w:t>：为协议中的优先池提供资金。优先池根据每个借款人池获得支持者的数量将资金分配给借款人池。优先池的资金风险较低，因为首先清算的加密货币来自支持者。由于这个原因，优先池的名义利息的20%被重新分配给了支持者，以奖励支持者承担额外的风险。代币-FIDU</w:t>
      </w:r>
    </w:p>
    <w:p>
      <w:pPr>
        <w:pBdr>
          <w:bottom/>
        </w:pBd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4）</w:t>
      </w:r>
      <w:r>
        <w:rPr>
          <w:rFonts w:ascii="" w:hAnsi="" w:eastAsia="" w:cs=""/>
          <w:b/>
          <w:i w:val="false"/>
          <w:strike w:val="false"/>
          <w:color w:val="000000"/>
          <w:sz w:val="22"/>
          <w:u w:val="none"/>
        </w:rPr>
        <w:t>借款方（Borrowers）</w:t>
      </w:r>
      <w:r>
        <w:rPr>
          <w:rFonts w:ascii="" w:hAnsi="" w:eastAsia="" w:cs=""/>
          <w:i w:val="false"/>
          <w:strike w:val="false"/>
          <w:color w:val="000000"/>
          <w:sz w:val="22"/>
          <w:u w:val="none"/>
        </w:rPr>
        <w:t>：借款人必须支付GFI代币才能访问协议。向支持者表明借款人是真实可靠的的，并防止垃圾邮件和机器人。支付的GFI部分被用于激励审计者，其余GFI在贷款偿还后返还借款人。</w:t>
      </w:r>
    </w:p>
    <w:p>
      <w:pPr>
        <w:pStyle w:val="pqfe38"/>
        <w:numPr/>
        <w:pBdr>
          <w:bottom/>
        </w:pBdr>
        <w:rPr/>
      </w:pPr>
      <w:r>
        <w:rPr/>
        <w:t>1.2 借贷流程</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1）在借款人可以申请贷款之前，他们必须得到协议去中心化审计者的批准。审计者仅仅审计借款人是否是本人，而不是审计他们的信誉。目前，审计系统尚未上线，由核心贡献者批准借款人。</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2）尽职调查/协议收入：经审计者批准后，借款人向支持者提出贷款条款。这些条款可能包括诸如所需借贷的金额、贷款期限、利率、借款人的背景以及如何使用资金等细节。</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3）支持者评估借款人的信誉。如果他们同意条款，可以选择提供次级资金。次级部分是在发生违约时首先减记的高风险池，即时“第一损失资本”。</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4）从流动性提供者那里收集的优先池将资金分配给优先部分。优先池最多可以借出几倍于次级部分的金额。优先池部分是低风险池，首先收到付款，并且仅在初级部分无法完全覆盖违约时才被减记。</w:t>
      </w:r>
    </w:p>
    <w:p>
      <w:pPr>
        <w:snapToGrid/>
        <w:spacing w:before="0" w:after="0" w:line="240"/>
        <w:ind w:left="0" w:right="0" w:firstLine="480" w:firstLineChars="200"/>
        <w:jc w:val="both"/>
        <w:rPr>
          <w:rFonts w:ascii="" w:hAnsi="" w:eastAsia="" w:cs=""/>
          <w:sz w:val="22"/>
        </w:rPr>
      </w:pPr>
      <w:r>
        <w:rPr>
          <w:rFonts w:ascii="" w:hAnsi="" w:eastAsia="" w:cs=""/>
          <w:i w:val="false"/>
          <w:strike w:val="false"/>
          <w:color w:val="000000"/>
          <w:sz w:val="22"/>
          <w:u w:val="none"/>
        </w:rPr>
        <w:t>5）优先池完成分配后，贷款过程完成，借款人可以使用资金。</w:t>
      </w:r>
    </w:p>
    <w:p>
      <w:pPr>
        <w:pBdr>
          <w:bottom/>
        </w:pBdr>
        <w:snapToGrid/>
        <w:spacing w:before="0" w:after="0" w:line="240"/>
        <w:ind w:left="0" w:right="0" w:firstLine="480" w:firstLineChars="200"/>
        <w:jc w:val="both"/>
        <w:rPr>
          <w:rFonts w:ascii="" w:hAnsi="" w:eastAsia="" w:cs=""/>
        </w:rPr>
      </w:pPr>
      <w:r>
        <w:rPr>
          <w:rFonts w:ascii="" w:hAnsi="" w:eastAsia="" w:cs=""/>
          <w:i w:val="false"/>
          <w:strike w:val="false"/>
          <w:color w:val="000000"/>
          <w:sz w:val="22"/>
          <w:u w:val="none"/>
        </w:rPr>
        <w:t>根据</w:t>
      </w:r>
      <w:r>
        <w:rPr>
          <w:rFonts w:ascii="" w:hAnsi="" w:eastAsia="" w:cs=""/>
          <w:b/>
          <w:i w:val="false"/>
          <w:strike w:val="false"/>
          <w:color w:val="000000"/>
          <w:sz w:val="22"/>
          <w:u w:val="none"/>
        </w:rPr>
        <w:t>杠杆模型</w:t>
      </w:r>
      <w:r>
        <w:rPr>
          <w:rFonts w:ascii="" w:hAnsi="" w:eastAsia="" w:cs=""/>
          <w:i w:val="false"/>
          <w:strike w:val="false"/>
          <w:color w:val="000000"/>
          <w:sz w:val="22"/>
          <w:u w:val="none"/>
        </w:rPr>
        <w:t>，当更多的支持者评估一个借款池的条款，并认为它足够可行，并向其中投资第一损失资金时，优先池会自动向该借款池分配更多的第二损失资金。这意味着，当借款人向其中一个借款人池还款时，借款人池首先将这笔款项支付给当时欠优先池的利息和本金，然后再支付给从支持者那借来的利息和本金。为了激励支持者在评估借款人池和提供第一损失资本方面所做的工作，优先池名义利息的20%被重新分配给支持者。</w:t>
      </w:r>
    </w:p>
    <w:p>
      <w:pPr>
        <w:pStyle w:val="pqfe38"/>
        <w:pBdr/>
        <w:rPr/>
      </w:pPr>
      <w:r>
        <w:rPr/>
        <w:t>1.2 优点和风险</w:t>
      </w:r>
    </w:p>
    <w:p>
      <w:pPr>
        <w:pStyle w:val="8lb8to"/>
        <w:rPr/>
      </w:pPr>
      <w:r>
        <w:rPr/>
        <w:t>Goldfinch的优点</w:t>
      </w:r>
    </w:p>
    <w:p>
      <w:pPr>
        <w:pStyle w:val="ablt93"/>
        <w:numPr>
          <w:ilvl w:val="0"/>
          <w:numId w:val="1"/>
        </w:numPr>
        <w:rPr/>
      </w:pPr>
      <w:r>
        <w:rPr/>
        <w:t>去中心化：Goldfinch是一个去中心化的平台，它不仅可以提供更安全、透明的借贷体验，而且消除了中介机构的参与，从而降低了费用和复杂度。</w:t>
      </w:r>
    </w:p>
    <w:p>
      <w:pPr>
        <w:pStyle w:val="ablt93"/>
        <w:numPr>
          <w:ilvl w:val="0"/>
          <w:numId w:val="1"/>
        </w:numPr>
        <w:rPr/>
      </w:pPr>
      <w:r>
        <w:rPr/>
        <w:t>低门槛借贷：Goldfinch平台上的借款门槛相对较低，甚至有助于那些无法获得传统金融机构支持的人们。此外，由于该平台不需要信用评级，所以可以帮助那些信用评级较低的人们获得借款。</w:t>
      </w:r>
    </w:p>
    <w:p>
      <w:pPr>
        <w:pStyle w:val="ablt93"/>
        <w:numPr>
          <w:ilvl w:val="0"/>
          <w:numId w:val="1"/>
        </w:numPr>
        <w:rPr/>
      </w:pPr>
      <w:r>
        <w:rPr/>
        <w:t>市场需求：金融业一直是全球经济的核心，人们对贷款的需求也一直存在。区块链技术使借贷市场变得更加高效，因此Goldfinch这样的RWA项目具有很大的市场需求。</w:t>
      </w:r>
    </w:p>
    <w:p>
      <w:pPr>
        <w:pStyle w:val="ablt93"/>
        <w:numPr>
          <w:ilvl w:val="0"/>
          <w:numId w:val="1"/>
        </w:numPr>
        <w:rPr/>
      </w:pPr>
      <w:r>
        <w:rPr/>
        <w:t>稳定性：Goldfinch项目的稳定性是其最大的优势之一。该平台采用了资产多样化的方法，即使某些借款违约，整个平台也不会完全崩溃。</w:t>
      </w:r>
    </w:p>
    <w:p>
      <w:pPr>
        <w:pStyle w:val="ablt93"/>
        <w:numPr>
          <w:ilvl w:val="0"/>
          <w:numId w:val="1"/>
        </w:numPr>
        <w:rPr/>
      </w:pPr>
      <w:r>
        <w:rPr/>
        <w:t>易用性：Goldfinch的借款流程非常简单，通过智能合约自动化地完成整个过程，使借款人和出借人都能够快速轻松地使用平台。</w:t>
      </w:r>
    </w:p>
    <w:p>
      <w:pPr>
        <w:pStyle w:val="8lb8to"/>
        <w:rPr/>
      </w:pPr>
      <w:r>
        <w:rPr/>
        <w:t>Goldfinch的风险</w:t>
      </w:r>
    </w:p>
    <w:p>
      <w:pPr>
        <w:pStyle w:val="ablt93"/>
        <w:numPr>
          <w:ilvl w:val="0"/>
          <w:numId w:val="2"/>
        </w:numPr>
        <w:rPr/>
      </w:pPr>
      <w:r>
        <w:rPr/>
        <w:t>法律问题 ：由于区块链技术还处于相对较新的领域，目前没有足够的法律框架来规范它。这可能会导致一些法律风险。不同国家的法律规定不尽相同，这可能给Goldfinch的业务拓展带来困难和成本。</w:t>
      </w:r>
    </w:p>
    <w:p>
      <w:pPr>
        <w:pStyle w:val="ablt93"/>
        <w:numPr>
          <w:ilvl w:val="0"/>
          <w:numId w:val="2"/>
        </w:numPr>
        <w:rPr/>
      </w:pPr>
      <w:r>
        <w:rPr/>
        <w:t>安全问题：Goldfinch本质上属于“跨链桥”，链接真实世界和Defi，虽然区块链技术本身很安全，但由于金融交易涉及的数额较大，因此黑客攻击是一个常见的安全风险。</w:t>
      </w:r>
    </w:p>
    <w:p>
      <w:pPr>
        <w:pStyle w:val="ablt93"/>
        <w:numPr>
          <w:ilvl w:val="0"/>
          <w:numId w:val="2"/>
        </w:numPr>
        <w:rPr/>
      </w:pPr>
      <w:r>
        <w:rPr/>
        <w:t>风险分散：虽然Goldfinch采用了资产多样化的方法来分散风险，但如果某些资产的价值暴跌，整个平台仍然可能面临风险。</w:t>
      </w:r>
    </w:p>
    <w:p>
      <w:pPr>
        <w:pStyle w:val="ablt93"/>
        <w:numPr>
          <w:ilvl w:val="0"/>
          <w:numId w:val="2"/>
        </w:numPr>
        <w:rPr/>
      </w:pPr>
      <w:r>
        <w:rPr/>
        <w:t>市场风险：借贷市场本身就存在一定的市场风险，因此Goldfinch的未来也会受到宏观经济因素的影响，例如利率变化、金融危机等。</w:t>
      </w:r>
    </w:p>
    <w:p>
      <w:pPr>
        <w:pStyle w:val="ablt93"/>
        <w:numPr>
          <w:ilvl w:val="0"/>
          <w:numId w:val="2"/>
        </w:numPr>
        <w:rPr/>
      </w:pPr>
      <w:r>
        <w:rPr/>
        <w:t>竞争风险：Goldfinch的竞争对手也在不断增多，其他类似的借贷平台和RWA项目都在争夺市场份额。这可能会对Goldfinch的未来发展造成一定的风险。</w:t>
      </w:r>
    </w:p>
    <w:p>
      <w:pPr>
        <w:rPr/>
      </w:pPr>
    </w:p>
    <w:p>
      <w:pPr>
        <w:pStyle w:val="rhxzls"/>
        <w:pBdr/>
        <w:ind w:left="0"/>
        <w:rPr/>
      </w:pPr>
      <w:r>
        <w:rPr/>
        <w:t>2 合约整体架构</w:t>
      </w:r>
    </w:p>
    <w:p>
      <w:pPr>
        <w:pStyle w:val="ablt93"/>
        <w:pBdr/>
        <w:ind w:left="0"/>
        <w:rPr/>
      </w:pPr>
      <w:r>
        <w:rPr>
          <w:shd/>
        </w:rPr>
        <w:drawing>
          <wp:inline distT="0" distB="0" distL="0" distR="0">
            <wp:extent cx="5760085" cy="4179106"/>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tretch/>
                  </pic:blipFill>
                  <pic:spPr>
                    <a:xfrm>
                      <a:off x="0" y="0"/>
                      <a:ext cx="5760085" cy="4179106"/>
                    </a:xfrm>
                    <a:prstGeom prst="rect">
                      <a:avLst/>
                    </a:prstGeom>
                  </pic:spPr>
                </pic:pic>
              </a:graphicData>
            </a:graphic>
          </wp:inline>
        </w:drawing>
      </w:r>
    </w:p>
    <w:p>
      <w:pPr>
        <w:numPr>
          <w:ilvl w:val="0"/>
          <w:numId w:val="3"/>
        </w:numPr>
        <w:pBdr/>
        <w:snapToGrid/>
        <w:spacing w:line="240"/>
        <w:rPr/>
      </w:pPr>
      <w:r>
        <w:rPr>
          <w:b w:val="false"/>
          <w:i w:val="false"/>
          <w:strike w:val="false"/>
          <w:spacing w:val="0"/>
          <w:u w:val="none"/>
        </w:rPr>
        <w:t>高级资金池（Senior Pool）</w:t>
      </w:r>
    </w:p>
    <w:p>
      <w:pPr>
        <w:pBdr>
          <w:bottom/>
        </w:pBdr>
        <w:snapToGrid/>
        <w:spacing w:line="240"/>
        <w:ind w:left="336"/>
        <w:rPr/>
      </w:pPr>
      <w:r>
        <w:rPr>
          <w:b w:val="false"/>
          <w:i w:val="false"/>
          <w:strike w:val="false"/>
          <w:spacing w:val="0"/>
          <w:u w:val="none"/>
        </w:rPr>
        <w:t>这个池子类似于Compound的市场。它通过份额价格机制，跟踪供应商及其赚取的利息。供应商在提供资金时，根据当前的份额价格获得FIDU代币，并且可以在提取时将FIDU兑换为USDC（前提是有足够的流动性）。</w:t>
      </w:r>
    </w:p>
    <w:p>
      <w:pPr>
        <w:snapToGrid/>
        <w:spacing w:line="240"/>
        <w:rPr/>
      </w:pPr>
    </w:p>
    <w:p>
      <w:pPr>
        <w:numPr>
          <w:ilvl w:val="0"/>
          <w:numId w:val="4"/>
        </w:numPr>
        <w:pBdr/>
        <w:snapToGrid/>
        <w:spacing w:line="240"/>
        <w:rPr/>
      </w:pPr>
      <w:r>
        <w:rPr>
          <w:b w:val="false"/>
          <w:i w:val="false"/>
          <w:strike w:val="false"/>
          <w:spacing w:val="0"/>
          <w:u w:val="none"/>
        </w:rPr>
        <w:t>FIDU</w:t>
      </w:r>
    </w:p>
    <w:p>
      <w:pPr>
        <w:pBdr>
          <w:bottom/>
        </w:pBdr>
        <w:snapToGrid/>
        <w:spacing w:line="240"/>
        <w:ind w:left="336"/>
        <w:rPr/>
      </w:pPr>
      <w:r>
        <w:rPr>
          <w:b w:val="false"/>
          <w:i w:val="false"/>
          <w:strike w:val="false"/>
          <w:spacing w:val="0"/>
          <w:u w:val="none"/>
        </w:rPr>
        <w:t>这相当于cToken。高级资金池始终愿意按当前的份额价格，用USDC来铸造或销毁FIDU。</w:t>
      </w:r>
    </w:p>
    <w:p>
      <w:pPr>
        <w:snapToGrid/>
        <w:spacing w:line="240"/>
        <w:rPr/>
      </w:pPr>
    </w:p>
    <w:p>
      <w:pPr>
        <w:numPr>
          <w:ilvl w:val="0"/>
          <w:numId w:val="5"/>
        </w:numPr>
        <w:pBdr/>
        <w:snapToGrid/>
        <w:spacing w:line="240"/>
        <w:rPr/>
      </w:pPr>
      <w:r>
        <w:rPr>
          <w:b w:val="false"/>
          <w:i w:val="false"/>
          <w:strike w:val="false"/>
          <w:spacing w:val="0"/>
          <w:u w:val="none"/>
        </w:rPr>
        <w:t>分层资金池（TranchedPool）</w:t>
      </w:r>
    </w:p>
    <w:p>
      <w:pPr>
        <w:pBdr>
          <w:bottom/>
        </w:pBdr>
        <w:snapToGrid/>
        <w:spacing w:line="240"/>
        <w:ind w:left="336"/>
        <w:rPr/>
      </w:pPr>
      <w:r>
        <w:rPr>
          <w:b w:val="false"/>
          <w:i w:val="false"/>
          <w:strike w:val="false"/>
          <w:spacing w:val="0"/>
          <w:u w:val="none"/>
        </w:rPr>
        <w:t>代表一个单独的贷款。会有多个分层资金池合约。它包含了贷款的条款以及利息支付的瀑布式逻辑。这个合约负责将贷款（通过它所包含的信用额度表示）分成高级和次级两个层次。</w:t>
      </w:r>
    </w:p>
    <w:p>
      <w:pPr>
        <w:snapToGrid/>
        <w:spacing w:line="240"/>
        <w:rPr/>
      </w:pPr>
    </w:p>
    <w:p>
      <w:pPr>
        <w:numPr>
          <w:ilvl w:val="0"/>
          <w:numId w:val="6"/>
        </w:numPr>
        <w:pBdr/>
        <w:snapToGrid/>
        <w:spacing w:line="240"/>
        <w:rPr/>
      </w:pPr>
      <w:r>
        <w:rPr>
          <w:b w:val="false"/>
          <w:i w:val="false"/>
          <w:strike w:val="false"/>
          <w:spacing w:val="0"/>
          <w:u w:val="none"/>
        </w:rPr>
        <w:t>信用额度（CreditLine）</w:t>
      </w:r>
    </w:p>
    <w:p>
      <w:pPr>
        <w:pBdr>
          <w:bottom/>
        </w:pBdr>
        <w:snapToGrid/>
        <w:spacing w:line="240"/>
        <w:ind w:left="336"/>
        <w:rPr/>
      </w:pPr>
      <w:r>
        <w:rPr>
          <w:b w:val="false"/>
          <w:i w:val="false"/>
          <w:strike w:val="false"/>
          <w:spacing w:val="0"/>
          <w:u w:val="none"/>
        </w:rPr>
        <w:t>包含贷款的条款和计算利息支付的逻辑。它并不是独立使用的。每一个分层资金池都包含一个信用额度。</w:t>
      </w:r>
    </w:p>
    <w:p>
      <w:pPr>
        <w:snapToGrid/>
        <w:spacing w:line="240"/>
        <w:rPr/>
      </w:pPr>
    </w:p>
    <w:p>
      <w:pPr>
        <w:numPr>
          <w:ilvl w:val="0"/>
          <w:numId w:val="7"/>
        </w:numPr>
        <w:pBdr/>
        <w:snapToGrid/>
        <w:spacing w:line="240"/>
        <w:rPr/>
      </w:pPr>
      <w:r>
        <w:rPr>
          <w:b w:val="false"/>
          <w:i w:val="false"/>
          <w:strike w:val="false"/>
          <w:spacing w:val="0"/>
          <w:u w:val="none"/>
        </w:rPr>
        <w:t>池子代币（PoolTokens）</w:t>
      </w:r>
    </w:p>
    <w:p>
      <w:pPr>
        <w:pBdr>
          <w:bottom/>
        </w:pBdr>
        <w:snapToGrid/>
        <w:spacing w:line="240"/>
        <w:ind w:left="336"/>
        <w:rPr/>
      </w:pPr>
      <w:r>
        <w:rPr>
          <w:b w:val="false"/>
          <w:i w:val="false"/>
          <w:strike w:val="false"/>
          <w:spacing w:val="0"/>
          <w:u w:val="none"/>
        </w:rPr>
        <w:t>这是一个ERC-721合约，用来代表对分层资金池中的高级或次级层存款。与Uniswap V3流动性提供者（LP）的位置类似。在向分层资金池存款时，会铸造一个池子代币NFT。必须将这个NFT提供给分层资金池才能兑换本金或利息。</w:t>
      </w:r>
    </w:p>
    <w:p>
      <w:pPr>
        <w:snapToGrid/>
        <w:spacing w:line="240"/>
        <w:rPr/>
      </w:pPr>
    </w:p>
    <w:p>
      <w:pPr>
        <w:numPr>
          <w:ilvl w:val="0"/>
          <w:numId w:val="8"/>
        </w:numPr>
        <w:pBdr/>
        <w:snapToGrid/>
        <w:spacing w:line="240"/>
        <w:rPr/>
      </w:pPr>
      <w:r>
        <w:rPr>
          <w:b w:val="false"/>
          <w:i w:val="false"/>
          <w:strike w:val="false"/>
          <w:spacing w:val="0"/>
          <w:u w:val="none"/>
        </w:rPr>
        <w:t>借款人（Borrower）</w:t>
      </w:r>
    </w:p>
    <w:p>
      <w:pPr>
        <w:pBdr>
          <w:bottom/>
        </w:pBdr>
        <w:snapToGrid/>
        <w:spacing w:line="240"/>
        <w:ind w:left="336"/>
        <w:rPr/>
      </w:pPr>
      <w:r>
        <w:rPr>
          <w:b w:val="false"/>
          <w:i w:val="false"/>
          <w:strike w:val="false"/>
          <w:spacing w:val="0"/>
          <w:u w:val="none"/>
        </w:rPr>
        <w:t>为最终的借款人提供辅助功能的智能合约钱包。例如，一次交易偿还多个资金池。将USDC兑换为USDT等。</w:t>
      </w:r>
    </w:p>
    <w:p>
      <w:pPr>
        <w:snapToGrid/>
        <w:spacing w:line="240"/>
        <w:rPr/>
      </w:pPr>
    </w:p>
    <w:p>
      <w:pPr>
        <w:numPr>
          <w:ilvl w:val="0"/>
          <w:numId w:val="9"/>
        </w:numPr>
        <w:pBdr/>
        <w:snapToGrid/>
        <w:spacing w:line="240"/>
        <w:rPr/>
      </w:pPr>
      <w:r>
        <w:rPr>
          <w:b w:val="false"/>
          <w:i w:val="false"/>
          <w:strike w:val="false"/>
          <w:spacing w:val="0"/>
          <w:u w:val="none"/>
        </w:rPr>
        <w:t>杠杆率策略（LeverageRatioStrategy）</w:t>
      </w:r>
    </w:p>
    <w:p>
      <w:pPr>
        <w:pBdr>
          <w:bottom/>
        </w:pBdr>
        <w:snapToGrid/>
        <w:spacing w:line="240"/>
        <w:ind w:left="336"/>
        <w:rPr/>
      </w:pPr>
      <w:r>
        <w:rPr>
          <w:b w:val="false"/>
          <w:i w:val="false"/>
          <w:strike w:val="false"/>
          <w:spacing w:val="0"/>
          <w:u w:val="none"/>
        </w:rPr>
        <w:t>高级资金池使用这个来确定对分层资金池应用多少杠杆。目前有两个版本，一个是固定杠杆率（FixedLeverageRatio），另一个是动态杠杆率（DynamicLeverageRatio）。</w:t>
      </w:r>
    </w:p>
    <w:p>
      <w:pPr>
        <w:snapToGrid/>
        <w:spacing w:line="240"/>
        <w:rPr/>
      </w:pPr>
    </w:p>
    <w:p>
      <w:pPr>
        <w:numPr>
          <w:ilvl w:val="0"/>
          <w:numId w:val="10"/>
        </w:numPr>
        <w:pBdr/>
        <w:snapToGrid/>
        <w:spacing w:line="240"/>
        <w:rPr/>
      </w:pPr>
      <w:r>
        <w:rPr>
          <w:b w:val="false"/>
          <w:i w:val="false"/>
          <w:strike w:val="false"/>
          <w:spacing w:val="0"/>
          <w:u w:val="none"/>
        </w:rPr>
        <w:t>GFI</w:t>
      </w:r>
    </w:p>
    <w:p>
      <w:pPr>
        <w:pBdr>
          <w:bottom/>
        </w:pBdr>
        <w:snapToGrid/>
        <w:spacing w:line="240"/>
        <w:ind w:left="336"/>
        <w:rPr/>
      </w:pPr>
      <w:r>
        <w:rPr>
          <w:b w:val="false"/>
          <w:i w:val="false"/>
          <w:strike w:val="false"/>
          <w:spacing w:val="0"/>
          <w:u w:val="none"/>
        </w:rPr>
        <w:t>Goldfinch协议的代币。它是一个标准的ERC-20代币。</w:t>
      </w:r>
    </w:p>
    <w:p>
      <w:pPr>
        <w:snapToGrid/>
        <w:spacing w:line="240"/>
        <w:rPr/>
      </w:pPr>
    </w:p>
    <w:p>
      <w:pPr>
        <w:numPr>
          <w:ilvl w:val="0"/>
          <w:numId w:val="11"/>
        </w:numPr>
        <w:pBdr/>
        <w:snapToGrid/>
        <w:spacing w:line="240"/>
        <w:rPr/>
      </w:pPr>
      <w:r>
        <w:rPr>
          <w:b w:val="false"/>
          <w:i w:val="false"/>
          <w:strike w:val="false"/>
          <w:spacing w:val="0"/>
          <w:u w:val="none"/>
        </w:rPr>
        <w:t>质押奖励（StakingRewards）</w:t>
      </w:r>
    </w:p>
    <w:p>
      <w:pPr>
        <w:pBdr/>
        <w:snapToGrid/>
        <w:spacing w:line="240"/>
        <w:ind w:left="336"/>
        <w:rPr>
          <w:b w:val="false"/>
          <w:i w:val="false"/>
          <w:strike w:val="false"/>
          <w:spacing w:val="0"/>
          <w:u w:val="none"/>
        </w:rPr>
      </w:pPr>
      <w:r>
        <w:rPr>
          <w:b w:val="false"/>
          <w:i w:val="false"/>
          <w:strike w:val="false"/>
          <w:spacing w:val="0"/>
          <w:u w:val="none"/>
        </w:rPr>
        <w:t>将FIDU代币注入高级资金池后，可以进一步注入到质押奖励合约中，以赚取GFI奖励。与其他协议的类似合约相比，这个合约有两个独特之处：</w:t>
      </w:r>
    </w:p>
    <w:p>
      <w:pPr>
        <w:pBdr/>
        <w:snapToGrid/>
        <w:spacing w:line="240"/>
        <w:ind w:left="336"/>
        <w:rPr>
          <w:b w:val="false"/>
          <w:i w:val="false"/>
          <w:strike w:val="false"/>
          <w:spacing w:val="0"/>
          <w:u w:val="none"/>
        </w:rPr>
      </w:pPr>
      <w:r>
        <w:rPr>
          <w:b w:val="false"/>
          <w:i w:val="false"/>
          <w:strike w:val="false"/>
          <w:spacing w:val="0"/>
          <w:u w:val="none"/>
        </w:rPr>
        <w:t>1）它根据目标高级资金池容量调整奖励率。例如，如果高级资金池的目标是1亿美元，而当前池内有8000万美元，那么奖励将持续增加（直到达到最大值），直到达到目标。如果池子的资金超过目标，那么奖励率会降低，这样我们就不会为目前还不需要的流动性支付过多的GFI。</w:t>
      </w:r>
    </w:p>
    <w:p>
      <w:pPr>
        <w:pBdr/>
        <w:snapToGrid/>
        <w:spacing w:line="240"/>
        <w:ind w:left="336"/>
        <w:rPr>
          <w:b w:val="false"/>
          <w:i w:val="false"/>
          <w:strike w:val="false"/>
          <w:spacing w:val="0"/>
          <w:u w:val="none"/>
        </w:rPr>
      </w:pPr>
      <w:r>
        <w:rPr>
          <w:b w:val="false"/>
          <w:i w:val="false"/>
          <w:strike w:val="false"/>
          <w:spacing w:val="0"/>
          <w:u w:val="none"/>
        </w:rPr>
        <w:t>2）质押者可以选择锁定FIDU一段预定时间，以获得奖励率的倍增。这允许池子在锁定期内保证一定数量的流动性。</w:t>
      </w:r>
    </w:p>
    <w:p>
      <w:pPr>
        <w:pBdr>
          <w:bottom/>
        </w:pBdr>
        <w:snapToGrid/>
        <w:spacing w:line="240"/>
        <w:ind w:left="0"/>
        <w:rPr/>
      </w:pPr>
    </w:p>
    <w:p>
      <w:pPr>
        <w:numPr>
          <w:ilvl w:val="0"/>
          <w:numId w:val="12"/>
        </w:numPr>
        <w:pBdr/>
        <w:snapToGrid/>
        <w:spacing w:line="240"/>
        <w:rPr/>
      </w:pPr>
      <w:r>
        <w:rPr>
          <w:b w:val="false"/>
          <w:i w:val="false"/>
          <w:strike w:val="false"/>
          <w:spacing w:val="0"/>
          <w:u w:val="none"/>
        </w:rPr>
        <w:t>GoldfinchFactory</w:t>
      </w:r>
    </w:p>
    <w:p>
      <w:pPr>
        <w:pBdr>
          <w:bottom/>
        </w:pBdr>
        <w:snapToGrid/>
        <w:spacing w:line="240"/>
        <w:ind w:left="336"/>
        <w:rPr/>
      </w:pPr>
      <w:r>
        <w:rPr>
          <w:b w:val="false"/>
          <w:i w:val="false"/>
          <w:strike w:val="false"/>
          <w:spacing w:val="0"/>
          <w:u w:val="none"/>
        </w:rPr>
        <w:t>一个能够创建分层资金池或借款人合约的工厂合约。</w:t>
      </w:r>
    </w:p>
    <w:p>
      <w:pPr>
        <w:snapToGrid/>
        <w:spacing w:line="240"/>
        <w:rPr/>
      </w:pPr>
    </w:p>
    <w:p>
      <w:pPr>
        <w:numPr>
          <w:ilvl w:val="0"/>
          <w:numId w:val="13"/>
        </w:numPr>
        <w:pBdr/>
        <w:snapToGrid/>
        <w:spacing w:line="240"/>
        <w:rPr/>
      </w:pPr>
      <w:r>
        <w:rPr>
          <w:b w:val="false"/>
          <w:i w:val="false"/>
          <w:strike w:val="false"/>
          <w:spacing w:val="0"/>
          <w:u w:val="none"/>
        </w:rPr>
        <w:t>GoldfinchConfig</w:t>
      </w:r>
    </w:p>
    <w:p>
      <w:pPr>
        <w:pBdr>
          <w:bottom/>
        </w:pBdr>
        <w:snapToGrid/>
        <w:spacing w:line="240"/>
        <w:ind w:left="336"/>
        <w:rPr/>
      </w:pPr>
      <w:r>
        <w:rPr>
          <w:b w:val="false"/>
          <w:i w:val="false"/>
          <w:strike w:val="false"/>
          <w:spacing w:val="0"/>
          <w:u w:val="none"/>
        </w:rPr>
        <w:t>这是一个通用合约，被大多数其他合约引用，用于“服务发现”其他智能合约，并存储配置值（例如最大资金池容量）。</w:t>
      </w:r>
    </w:p>
    <w:p>
      <w:pPr>
        <w:pStyle w:val="rhxzls"/>
        <w:pBdr/>
        <w:rPr/>
      </w:pPr>
      <w:r>
        <w:rPr/>
        <w:t>3 目录结构</w:t>
      </w:r>
    </w:p>
    <w:p>
      <w:pPr>
        <w:pStyle w:val="pqfe38"/>
        <w:rPr/>
      </w:pPr>
      <w:r>
        <w:rPr/>
        <w:t>3.1 整体目录结构</w:t>
      </w:r>
    </w:p>
    <w:p>
      <w:pPr>
        <w:pStyle w:val="ablt93"/>
        <w:pBdr/>
        <w:rPr/>
      </w:pPr>
      <w:r>
        <w:rPr/>
        <w:drawing>
          <wp:inline distT="0" distB="0" distL="0" distR="0">
            <wp:extent cx="5760085" cy="5760085"/>
            <wp:effectExtent l="0" t="0" r="0" b="0"/>
            <wp:docPr id="8" name="文本框 a1cefo"/>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i9ij51"/>
                          <w:rPr/>
                        </w:pPr>
                        <w:r>
                          <w:rPr>
                            <w:rStyle w:val="g16djz"/>
                          </w:rPr>
                          <w:t>.</w:t>
                        </w:r>
                      </w:p>
                      <w:p>
                        <w:pPr>
                          <w:pStyle w:val="i9ij51"/>
                          <w:rPr/>
                        </w:pPr>
                        <w:r>
                          <w:rPr>
                            <w:rStyle w:val="g16djz"/>
                          </w:rPr>
                          <w:t>├── blockchain_scripts</w:t>
                        </w:r>
                      </w:p>
                      <w:p>
                        <w:pPr>
                          <w:pStyle w:val="i9ij51"/>
                          <w:rPr/>
                        </w:pPr>
                        <w:r>
                          <w:rPr>
                            <w:rStyle w:val="g16djz"/>
                          </w:rPr>
                          <w:t>├── contracts</w:t>
                        </w:r>
                      </w:p>
                      <w:p>
                        <w:pPr>
                          <w:pStyle w:val="i9ij51"/>
                          <w:rPr/>
                        </w:pPr>
                        <w:r>
                          <w:rPr>
                            <w:rStyle w:val="g16djz"/>
                          </w:rPr>
                          <w:t>│   ├── external</w:t>
                        </w:r>
                      </w:p>
                      <w:p>
                        <w:pPr>
                          <w:pStyle w:val="i9ij51"/>
                          <w:rPr/>
                        </w:pPr>
                        <w:r>
                          <w:rPr>
                            <w:rStyle w:val="g16djz"/>
                          </w:rPr>
                          <w:t>│   ├── interfaces</w:t>
                        </w:r>
                      </w:p>
                      <w:p>
                        <w:pPr>
                          <w:pStyle w:val="i9ij51"/>
                          <w:rPr/>
                        </w:pPr>
                        <w:r>
                          <w:rPr>
                            <w:rStyle w:val="g16djz"/>
                          </w:rPr>
                          <w:t>│   ├── library</w:t>
                        </w:r>
                      </w:p>
                      <w:p>
                        <w:pPr>
                          <w:pStyle w:val="i9ij51"/>
                          <w:rPr/>
                        </w:pPr>
                        <w:r>
                          <w:rPr>
                            <w:rStyle w:val="g16djz"/>
                          </w:rPr>
                          <w:t>│   ├── protocol</w:t>
                        </w:r>
                      </w:p>
                      <w:p>
                        <w:pPr>
                          <w:pStyle w:val="i9ij51"/>
                          <w:rPr/>
                        </w:pPr>
                        <w:r>
                          <w:rPr>
                            <w:rStyle w:val="g16djz"/>
                          </w:rPr>
                          <w:t>│   └── test</w:t>
                        </w:r>
                      </w:p>
                      <w:p>
                        <w:pPr>
                          <w:pStyle w:val="i9ij51"/>
                          <w:rPr/>
                        </w:pPr>
                        <w:r>
                          <w:rPr>
                            <w:rStyle w:val="g16djz"/>
                          </w:rPr>
                          <w:t>├── deploy</w:t>
                        </w:r>
                      </w:p>
                      <w:p>
                        <w:pPr>
                          <w:pStyle w:val="i9ij51"/>
                          <w:rPr/>
                        </w:pPr>
                        <w:r>
                          <w:rPr>
                            <w:rStyle w:val="g16djz"/>
                          </w:rPr>
                          <w:t>├── deployments</w:t>
                        </w:r>
                      </w:p>
                      <w:p>
                        <w:pPr>
                          <w:pStyle w:val="i9ij51"/>
                          <w:rPr/>
                        </w:pPr>
                        <w:r>
                          <w:rPr>
                            <w:rStyle w:val="g16djz"/>
                          </w:rPr>
                          <w:t>├── docs-templates</w:t>
                        </w:r>
                      </w:p>
                      <w:p>
                        <w:pPr>
                          <w:pStyle w:val="i9ij51"/>
                          <w:rPr/>
                        </w:pPr>
                        <w:r>
                          <w:rPr>
                            <w:rStyle w:val="g16djz"/>
                          </w:rPr>
                          <w:t>├── internal-audits</w:t>
                        </w:r>
                      </w:p>
                      <w:p>
                        <w:pPr>
                          <w:pStyle w:val="i9ij51"/>
                          <w:rPr/>
                        </w:pPr>
                        <w:r>
                          <w:rPr>
                            <w:rStyle w:val="g16djz"/>
                          </w:rPr>
                          <w:t>├── lib</w:t>
                        </w:r>
                      </w:p>
                      <w:p>
                        <w:pPr>
                          <w:pStyle w:val="i9ij51"/>
                          <w:rPr/>
                        </w:pPr>
                        <w:r>
                          <w:rPr>
                            <w:rStyle w:val="g16djz"/>
                          </w:rPr>
                          <w:t>├── scripts</w:t>
                        </w:r>
                      </w:p>
                      <w:p>
                        <w:pPr>
                          <w:pStyle w:val="i9ij51"/>
                          <w:rPr/>
                        </w:pPr>
                        <w:r>
                          <w:rPr>
                            <w:rStyle w:val="g16djz"/>
                          </w:rPr>
                          <w:t>└── test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ablt93"/>
        <w:pBdr/>
        <w:rPr/>
      </w:pPr>
      <w:r>
        <w:rPr/>
        <w:t>（红色标注的为可以参考的目录）</w:t>
      </w:r>
    </w:p>
    <w:p>
      <w:pPr>
        <w:pStyle w:val="ablt93"/>
        <w:numPr>
          <w:ilvl w:val="0"/>
          <w:numId w:val="14"/>
        </w:numPr>
        <w:rPr/>
      </w:pPr>
      <w:r>
        <w:rPr/>
        <w:t>blockchain_scripts：脚本文件，部署脚本执行会调用这里面的脚本文件</w:t>
      </w:r>
    </w:p>
    <w:p>
      <w:pPr>
        <w:pStyle w:val="ablt93"/>
        <w:numPr>
          <w:ilvl w:val="0"/>
          <w:numId w:val="14"/>
        </w:numPr>
        <w:pBdr/>
        <w:rPr/>
      </w:pPr>
      <w:r>
        <w:rPr>
          <w:color w:val="FF0000"/>
        </w:rPr>
        <w:t>contracts</w:t>
      </w:r>
      <w:r>
        <w:rPr/>
        <w:t>：</w:t>
      </w:r>
    </w:p>
    <w:p>
      <w:pPr>
        <w:pStyle w:val="ablt93"/>
        <w:numPr>
          <w:ilvl w:val="1"/>
          <w:numId w:val="14"/>
        </w:numPr>
        <w:pBdr/>
        <w:rPr/>
      </w:pPr>
      <w:r>
        <w:rPr>
          <w:color w:val="FF0000"/>
        </w:rPr>
        <w:t>externel</w:t>
      </w:r>
      <w:r>
        <w:rPr/>
        <w:t>：存放对标准合约（如openzepplin已经写好的合约）的二次封装的合约，如添加鉴权等，类似于外部引用</w:t>
      </w:r>
    </w:p>
    <w:p>
      <w:pPr>
        <w:pStyle w:val="ablt93"/>
        <w:numPr>
          <w:ilvl w:val="1"/>
          <w:numId w:val="14"/>
        </w:numPr>
        <w:pBdr/>
        <w:rPr/>
      </w:pPr>
      <w:r>
        <w:rPr>
          <w:color w:val="FF0000"/>
        </w:rPr>
        <w:t>interfaces</w:t>
      </w:r>
      <w:r>
        <w:rPr/>
        <w:t>：存放接口类，合约以interface打头</w:t>
      </w:r>
    </w:p>
    <w:p>
      <w:pPr>
        <w:pStyle w:val="ablt93"/>
        <w:numPr>
          <w:ilvl w:val="1"/>
          <w:numId w:val="14"/>
        </w:numPr>
        <w:pBdr/>
        <w:rPr/>
      </w:pPr>
      <w:r>
        <w:rPr>
          <w:color w:val="FF0000"/>
        </w:rPr>
        <w:t>librar</w:t>
      </w:r>
      <w:r>
        <w:rPr>
          <w:color w:val="FF0000"/>
        </w:rPr>
        <w:t>y</w:t>
      </w:r>
      <w:r>
        <w:rPr/>
        <w:t>：类似于utils，工具类函数，合约以library打头</w:t>
      </w:r>
    </w:p>
    <w:p>
      <w:pPr>
        <w:pStyle w:val="ablt93"/>
        <w:numPr>
          <w:ilvl w:val="1"/>
          <w:numId w:val="14"/>
        </w:numPr>
        <w:pBdr/>
        <w:rPr/>
      </w:pPr>
      <w:r>
        <w:rPr/>
        <w:t>protocol：</w:t>
      </w:r>
    </w:p>
    <w:p>
      <w:pPr>
        <w:pStyle w:val="ablt93"/>
        <w:numPr>
          <w:ilvl w:val="2"/>
          <w:numId w:val="14"/>
        </w:numPr>
        <w:pBdr/>
        <w:rPr/>
      </w:pPr>
      <w:r>
        <w:rPr>
          <w:color w:val="FF0000"/>
        </w:rPr>
        <w:t>core</w:t>
      </w:r>
      <w:r>
        <w:rPr/>
        <w:t>：核心逻辑代码</w:t>
      </w:r>
    </w:p>
    <w:p>
      <w:pPr>
        <w:pStyle w:val="ablt93"/>
        <w:numPr>
          <w:ilvl w:val="3"/>
          <w:numId w:val="14"/>
        </w:numPr>
        <w:pBdr/>
        <w:rPr/>
      </w:pPr>
      <w:r>
        <w:rPr/>
        <w:t>callable：赎回贷款实现逻辑</w:t>
      </w:r>
    </w:p>
    <w:p>
      <w:pPr>
        <w:pStyle w:val="ablt93"/>
        <w:numPr>
          <w:ilvl w:val="3"/>
          <w:numId w:val="14"/>
        </w:numPr>
        <w:pBdr/>
        <w:rPr/>
      </w:pPr>
      <w:r>
        <w:rPr/>
        <w:t>proxy：代理合约逻辑实现逻辑</w:t>
      </w:r>
    </w:p>
    <w:p>
      <w:pPr>
        <w:pStyle w:val="ablt93"/>
        <w:numPr>
          <w:ilvl w:val="3"/>
          <w:numId w:val="14"/>
        </w:numPr>
        <w:pBdr/>
        <w:rPr/>
      </w:pPr>
      <w:r>
        <w:rPr/>
        <w:t>schedule：定期还款实现逻辑</w:t>
      </w:r>
    </w:p>
    <w:p>
      <w:pPr>
        <w:pStyle w:val="ablt93"/>
        <w:numPr>
          <w:ilvl w:val="2"/>
          <w:numId w:val="14"/>
        </w:numPr>
        <w:pBdr/>
        <w:rPr/>
      </w:pPr>
      <w:r>
        <w:rPr/>
        <w:t>periphery：非核心逻辑代码</w:t>
      </w:r>
    </w:p>
    <w:p>
      <w:pPr>
        <w:pStyle w:val="ablt93"/>
        <w:numPr>
          <w:ilvl w:val="1"/>
          <w:numId w:val="14"/>
        </w:numPr>
        <w:pBdr/>
        <w:rPr/>
      </w:pPr>
      <w:r>
        <w:rPr/>
        <w:t>test：单元测试合约</w:t>
      </w:r>
      <w:r>
        <w:rPr>
          <w:color w:val="FF0000"/>
        </w:rPr>
        <w:t>（TODO: 调研具体goldfinch是如何使用单元测试的）</w:t>
      </w:r>
    </w:p>
    <w:p>
      <w:pPr>
        <w:pStyle w:val="ablt93"/>
        <w:numPr>
          <w:ilvl w:val="0"/>
          <w:numId w:val="14"/>
        </w:numPr>
        <w:pBdr/>
        <w:rPr/>
      </w:pPr>
      <w:r>
        <w:rPr>
          <w:color w:val="FF0000"/>
        </w:rPr>
        <w:t>deploy</w:t>
      </w:r>
      <w:r>
        <w:rPr/>
        <w:t>：部署脚本文件</w:t>
      </w:r>
    </w:p>
    <w:p>
      <w:pPr>
        <w:pStyle w:val="ablt93"/>
        <w:pBdr/>
        <w:ind w:left="0"/>
        <w:rPr>
          <w:color w:val="FF0000"/>
        </w:rPr>
      </w:pPr>
      <w:r>
        <w:rPr>
          <w:color w:val="FF0000"/>
        </w:rPr>
        <w:t>（TODO: 调研deploy下每个文件的作用，是否需要向goldfinch一样分层？blockchain_scripts目录切分的理论依据是什么？）</w:t>
      </w:r>
      <w:r>
        <w:rPr>
          <w:color w:val="FF0000"/>
        </w:rPr>
        <w:t>测试和部署脚本都改成ts</w:t>
      </w:r>
    </w:p>
    <w:p>
      <w:pPr>
        <w:pStyle w:val="ablt93"/>
        <w:pBdr/>
        <w:ind w:left="0"/>
        <w:rPr/>
      </w:pPr>
      <w:r>
        <w:rPr>
          <w:shd/>
        </w:rPr>
        <w:drawing>
          <wp:inline distT="0" distB="0" distL="0" distR="0">
            <wp:extent cx="4114800" cy="2667000"/>
            <wp:effectExtent l="0" t="0" r="0" b="0"/>
            <wp:docPr id="10" name="picture" descr="descript"/>
            <wp:cNvGraphicFramePr/>
            <a:graphic>
              <a:graphicData uri="http://schemas.openxmlformats.org/drawingml/2006/picture">
                <pic:pic>
                  <pic:nvPicPr>
                    <pic:cNvPr id="11" name="picture" descr="descript"/>
                    <pic:cNvPicPr/>
                  </pic:nvPicPr>
                  <pic:blipFill rotWithShape="true">
                    <a:blip r:embed="rId6"/>
                    <a:stretch/>
                  </pic:blipFill>
                  <pic:spPr>
                    <a:xfrm>
                      <a:off x="0" y="0"/>
                      <a:ext cx="4114800" cy="2667000"/>
                    </a:xfrm>
                    <a:prstGeom prst="rect">
                      <a:avLst/>
                    </a:prstGeom>
                  </pic:spPr>
                </pic:pic>
              </a:graphicData>
            </a:graphic>
          </wp:inline>
        </w:drawing>
      </w:r>
    </w:p>
    <w:p>
      <w:pPr>
        <w:pStyle w:val="ablt93"/>
        <w:numPr>
          <w:ilvl w:val="0"/>
          <w:numId w:val="14"/>
        </w:numPr>
        <w:pBdr/>
        <w:rPr/>
      </w:pPr>
      <w:r>
        <w:rPr/>
        <w:t>deployments：部署后产生的相关合约地址等信息，json格式文件，供app调用</w:t>
      </w:r>
    </w:p>
    <w:p>
      <w:pPr>
        <w:pStyle w:val="ablt93"/>
        <w:numPr>
          <w:ilvl w:val="0"/>
          <w:numId w:val="14"/>
        </w:numPr>
        <w:pBdr/>
        <w:rPr/>
      </w:pPr>
      <w:r>
        <w:rPr/>
        <w:t>docs-templates：express文档文件</w:t>
      </w:r>
    </w:p>
    <w:p>
      <w:pPr>
        <w:pStyle w:val="ablt93"/>
        <w:numPr>
          <w:ilvl w:val="0"/>
          <w:numId w:val="14"/>
        </w:numPr>
        <w:pBdr/>
        <w:rPr/>
      </w:pPr>
      <w:r>
        <w:rPr>
          <w:color w:val="FF0000"/>
        </w:rPr>
        <w:t>internal-audits</w:t>
      </w:r>
      <w:r>
        <w:rPr/>
        <w:t>：内部人工审计报告</w:t>
      </w:r>
    </w:p>
    <w:p>
      <w:pPr>
        <w:pStyle w:val="ablt93"/>
        <w:numPr>
          <w:ilvl w:val="0"/>
          <w:numId w:val="14"/>
        </w:numPr>
        <w:pBdr/>
        <w:rPr/>
      </w:pPr>
      <w:r>
        <w:rPr/>
        <w:t>lib：没有文件</w:t>
      </w:r>
    </w:p>
    <w:p>
      <w:pPr>
        <w:pStyle w:val="ablt93"/>
        <w:numPr>
          <w:ilvl w:val="0"/>
          <w:numId w:val="14"/>
        </w:numPr>
        <w:pBdr/>
        <w:rPr/>
      </w:pPr>
      <w:r>
        <w:rPr>
          <w:color w:val="FF0000"/>
        </w:rPr>
        <w:t>scripts</w:t>
      </w:r>
      <w:r>
        <w:rPr/>
        <w:t>：脚本，存放环境设置文件，如合约地址等</w:t>
      </w:r>
    </w:p>
    <w:p>
      <w:pPr>
        <w:pStyle w:val="ablt93"/>
        <w:numPr>
          <w:ilvl w:val="0"/>
          <w:numId w:val="14"/>
        </w:numPr>
        <w:pBdr>
          <w:bottom/>
        </w:pBdr>
        <w:rPr/>
      </w:pPr>
      <w:r>
        <w:rPr>
          <w:color w:val="FF0000"/>
        </w:rPr>
        <w:t>test</w:t>
      </w:r>
      <w:r>
        <w:rPr/>
        <w:t>：测试脚本文件</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4">
      <w:start w:val="1"/>
      <w:numFmt w:val="bullet"/>
      <w:lvlText w:val="¡"/>
      <w:pPr>
        <w:ind w:left="209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abstractNum>
  <w:abstractNum w:abstractNumId="2">
    <w:lvl w:ilvl="4">
      <w:start w:val="1"/>
      <w:numFmt w:val="bullet"/>
      <w:lvlText w:val="¡"/>
      <w:pPr>
        <w:ind w:left="209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abstractNum>
  <w:abstractNum w:abstractNumId="3">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abstractNum>
  <w:abstractNum w:abstractNumId="4">
    <w:lvl w:ilvl="5">
      <w:start w:val="1"/>
      <w:numFmt w:val="bullet"/>
      <w:lvlText w:val=""/>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abstractNum>
  <w:abstractNum w:abstractNumId="5">
    <w:lvl w:ilvl="0">
      <w:start w:val="1"/>
      <w:numFmt w:val="bullet"/>
      <w:lvlText w:val=""/>
      <w:lvlJc w:val="left"/>
      <w:pPr>
        <w:ind w:left="3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6">
    <w:lvl w:ilvl="5">
      <w:start w:val="1"/>
      <w:numFmt w:val="bullet"/>
      <w:lvlText w:val=""/>
      <w:pPr>
        <w:ind w:left="25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abstractNum>
  <w:abstractNum w:abstractNumId="7">
    <w:lvl w:ilvl="5">
      <w:start w:val="1"/>
      <w:numFmt w:val="bullet"/>
      <w:lvlText w:val=""/>
      <w:pPr>
        <w:ind w:left="25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8">
    <w:lvl w:ilvl="6">
      <w:start w:val="1"/>
      <w:numFmt w:val="bullet"/>
      <w:lvlText w:val=""/>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abstractNum>
  <w:abstractNum w:abstractNumId="9">
    <w:lvl w:ilvl="0">
      <w:start w:val="1"/>
      <w:numFmt w:val="bullet"/>
      <w:lvlText w:val=""/>
      <w:lvlJc w:val="left"/>
      <w:pPr>
        <w:ind w:left="33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10">
    <w:lvl w:ilvl="6">
      <w:start w:val="1"/>
      <w:numFmt w:val="bullet"/>
      <w:lvlText w:val=""/>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abstractNum>
  <w:abstractNum w:abstractNumId="11">
    <w:lvl w:ilvl="3">
      <w:start w:val="1"/>
      <w:numFmt w:val="bullet"/>
      <w:lvlText w:val=""/>
      <w:pPr>
        <w:ind w:left="165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2">
    <w:lvl w:ilvl="4">
      <w:start w:val="1"/>
      <w:numFmt w:val="bullet"/>
      <w:lvlText w:val="¡"/>
      <w:pPr>
        <w:ind w:left="209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abstractNum>
  <w:abstractNum w:abstractNumId="13">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abstractNum>
  <w:abstractNum w:abstractNumId="14">
    <w:lvl w:ilvl="6">
      <w:start w:val="1"/>
      <w:numFmt w:val="bullet"/>
      <w:lvlText w:val=""/>
      <w:pPr>
        <w:ind w:left="297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abstractNum>
  <w:num w:numId="3">
    <w:abstractNumId w:val="14"/>
  </w:num>
  <w:num w:numId="7">
    <w:abstractNumId w:val="6"/>
  </w:num>
  <w:num w:numId="11">
    <w:abstractNumId w:val="7"/>
  </w:num>
  <w:num w:numId="12">
    <w:abstractNumId w:val="9"/>
  </w:num>
  <w:num w:numId="6">
    <w:abstractNumId w:val="5"/>
  </w:num>
  <w:num w:numId="13">
    <w:abstractNumId w:val="2"/>
  </w:num>
  <w:num w:numId="10">
    <w:abstractNumId w:val="13"/>
  </w:num>
  <w:num w:numId="2">
    <w:abstractNumId w:val="12"/>
  </w:num>
  <w:num w:numId="9">
    <w:abstractNumId w:val="4"/>
  </w:num>
  <w:num w:numId="1">
    <w:abstractNumId w:val="3"/>
  </w:num>
  <w:num w:numId="4">
    <w:abstractNumId w:val="11"/>
  </w:num>
  <w:num w:numId="8">
    <w:abstractNumId w:val="8"/>
  </w:num>
  <w:num w:numId="5">
    <w:abstractNumId w:val="1"/>
  </w:num>
  <w:num w:numId="14">
    <w:abstractNumId w:val="10"/>
  </w:num>
</w:numbering>
</file>

<file path=word/settings.xml><?xml version="1.0" encoding="utf-8"?>
<w:settings xmlns:w14="http://schemas.microsoft.com/office/word/2010/wordml" xmlns:m="http://schemas.openxmlformats.org/officeDocument/2006/math" xmlns:w15="http://schemas.microsoft.com/office/word/2012/wordml"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ablt93" w:default="true">
    <w:name w:val="Normal"/>
    <w:pPr>
      <w:widowControl w:val="false"/>
      <w:jc w:val="left"/>
    </w:pPr>
  </w:style>
  <w:style w:type="paragraph" w:styleId="pqfe38">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8lb8to">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i9ij51">
    <w:name w:val="melo-codeblock-Base-theme-para"/>
    <w:basedOn w:val="ablt93"/>
    <w:next w:val=""/>
    <w:pPr>
      <w:spacing w:before="0" w:after="0" w:line="360" w:lineRule="auto"/>
    </w:pPr>
    <w:rPr>
      <w:rFonts w:ascii="Monaco" w:hAnsi="Monaco" w:eastAsia="Monaco" w:cs="Monaco"/>
      <w:color w:val="000000"/>
      <w:sz w:val="21"/>
    </w:rPr>
  </w:style>
  <w:style w:type="character" w:styleId="g16djz">
    <w:name w:val="melo-codeblock-Base-theme-char"/>
    <w:basedOn w:val=""/>
    <w:next w:val=""/>
    <w:rPr>
      <w:rFonts w:ascii="Monaco" w:hAnsi="Monaco" w:eastAsia="Monaco" w:cs="Monaco"/>
      <w:color w:val="000000"/>
      <w:sz w:val="21"/>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rhxzls">
    <w:name w:val="heading 1"/>
    <w:basedOn w:val="ablt93"/>
    <w:next w:val="ablt93"/>
    <w:uiPriority w:val="9"/>
    <w:qFormat/>
    <w:pPr>
      <w:keepNext/>
      <w:keepLines/>
      <w:spacing w:before="0" w:after="0" w:line="408" w:lineRule="auto"/>
      <w:outlineLvl w:val="0"/>
    </w:pPr>
    <w:rPr>
      <w:b/>
      <w:bCs/>
      <w:color w:val="1A1A1A"/>
      <w:sz w:val="36"/>
      <w:szCs w:val="36"/>
    </w:rPr>
  </w:style>
</w:styles>
</file>

<file path=word/_rels/document.xml.rels><?xml version="1.0" encoding="UTF-8" standalone="yes"?><Relationships xmlns="http://schemas.openxmlformats.org/package/2006/relationships"><Relationship Id="rId6" Type="http://schemas.openxmlformats.org/officeDocument/2006/relationships/image" Target="media/image3.png" /><Relationship Id="rId5" Type="http://schemas.openxmlformats.org/officeDocument/2006/relationships/image" Target="media/image2.png" /><Relationship Id="rId0" Type="http://schemas.openxmlformats.org/officeDocument/2006/relationships/styles" Target="styles.xml" /><Relationship Id="rId4" Type="http://schemas.openxmlformats.org/officeDocument/2006/relationships/image" Target="media/image1.png" /><Relationship Id="rId1" Type="http://schemas.openxmlformats.org/officeDocument/2006/relationships/settings" Target="settings.xml" /><Relationship Id="rId3" Type="http://schemas.openxmlformats.org/officeDocument/2006/relationships/numbering" Target="numbering.xml" /><Relationship Id="rId2" Type="http://schemas.openxmlformats.org/officeDocument/2006/relationships/fontTable" Target="fontTable.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2024-11-13T13:33:30Z</dcterms:created>
  <dcterms:modified xsi:type="dcterms:W3CDTF">2024-11-13T13:33:30Z</dcterms:modified>
</cp:coreProperties>
</file>