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sz w:val="32"/>
          <w:szCs w:val="32"/>
        </w:rPr>
        <w:t xml:space="preserve">Chapter 3: Identifying and Characterising the I/O Gap</w:t>
      </w:r>
    </w:p>
    <w:p>
      <w:pPr>
        <w:pStyle w:val="Heading2"/>
        <w:spacing w:after="150" w:before="300"/>
      </w:pPr>
      <w:r>
        <w:rPr>
          <w:rFonts w:ascii="Times New Roman" w:cs="Times New Roman" w:eastAsia="Times New Roman" w:hAnsi="Times New Roman"/>
          <w:b/>
          <w:bCs/>
          <w:sz w:val="28"/>
          <w:szCs w:val="28"/>
        </w:rPr>
        <w:t xml:space="preserve">3.1 Purpose and Experimental Setup</w:t>
      </w:r>
    </w:p>
    <w:p>
      <w:pPr>
        <w:spacing w:after="200" w:line="360"/>
        <w:jc w:val="both"/>
      </w:pPr>
      <w:r>
        <w:rPr>
          <w:rFonts w:ascii="Times New Roman" w:cs="Times New Roman" w:eastAsia="Times New Roman" w:hAnsi="Times New Roman"/>
          <w:sz w:val="24"/>
          <w:szCs w:val="24"/>
        </w:rPr>
        <w:t xml:space="preserve">Chapter 2 established that SlowPoke's own paper acknowledges a limitation but neither measures its size nor evaluates a fix. This chapter does the first of those two things: it establishes, on a real cluster reproduction of SlowPoke's own evaluation, how large the prediction error actually is for a service with no synchronous I/O on its causal target's path compared with services that have one, and whether deliberately adding more synchronous I/O along that path makes the error grow.</w:t>
      </w:r>
    </w:p>
    <w:p>
      <w:pPr>
        <w:spacing w:after="200" w:line="360"/>
        <w:jc w:val="both"/>
      </w:pPr>
      <w:r>
        <w:rPr>
          <w:rFonts w:ascii="Times New Roman" w:cs="Times New Roman" w:eastAsia="Times New Roman" w:hAnsi="Times New Roman"/>
          <w:sz w:val="24"/>
          <w:szCs w:val="24"/>
        </w:rPr>
        <w:t xml:space="preserve">All experiments in this chapter and the rest of this thesis run on an eight-node Google Cloud Kubernetes cluster (one control node, one load-generation node, and six service-worker nodes), built from SlowPoke's own cluster setup scripts so that the deployment topology matches what the original evaluation used as closely as practical. The load generator is wrk, running the same mixed-request workload SlowPoke's own artifact uses, against the same four benchmark applications introduced in Chapter 2: Online Boutique (target service: cart), and three DeathStarBench applications, hotel reservation (target: profile), social network (target: hometimeline), and the media review service (target: moviereviews). Each benchmark run measures ten points across the range of possible optimisations, from 0% to 90% reduction in the target service's processing time, and reports the root-mean-squared error between SlowPoke's predicted throughput and the true, measured throughput at each point. This is the same protocol and the same summarisation script (summarize_results.py) the SlowPoke artifact itself uses, so the numbers in this chapter are directly comparable to the paper's own reported figures.</w:t>
      </w:r>
    </w:p>
    <w:p>
      <w:pPr>
        <w:pStyle w:val="Heading2"/>
        <w:spacing w:after="150" w:before="300"/>
      </w:pPr>
      <w:r>
        <w:rPr>
          <w:rFonts w:ascii="Times New Roman" w:cs="Times New Roman" w:eastAsia="Times New Roman" w:hAnsi="Times New Roman"/>
          <w:b/>
          <w:bCs/>
          <w:sz w:val="28"/>
          <w:szCs w:val="28"/>
        </w:rPr>
        <w:t xml:space="preserve">3.2 Baseline Reproduction</w:t>
      </w:r>
    </w:p>
    <w:p>
      <w:pPr>
        <w:spacing w:after="200" w:line="360"/>
        <w:jc w:val="both"/>
      </w:pPr>
      <w:r>
        <w:rPr>
          <w:rFonts w:ascii="Times New Roman" w:cs="Times New Roman" w:eastAsia="Times New Roman" w:hAnsi="Times New Roman"/>
          <w:sz w:val="24"/>
          <w:szCs w:val="24"/>
        </w:rPr>
        <w:t xml:space="preserve">Table 3.1 reports the baseline result: SlowPoke's standard prediction, SIGSTOP-only, with no additional network delay injected anywhere in the request path.</w:t>
      </w:r>
    </w:p>
    <w:p>
      <w:pPr>
        <w:spacing w:after="100" w:before="200"/>
        <w:jc w:val="left"/>
      </w:pPr>
      <w:r>
        <w:rPr>
          <w:rFonts w:ascii="Times New Roman" w:cs="Times New Roman" w:eastAsia="Times New Roman" w:hAnsi="Times New Roman"/>
          <w:b/>
          <w:bCs/>
          <w:sz w:val="24"/>
          <w:szCs w:val="24"/>
        </w:rPr>
        <w:t xml:space="preserve">Table 3.1: SlowPoke baseline prediction accuracy, no injection (L0)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000"/>
      </w:tblGrid>
      <w:tr>
        <w:tc>
          <w:tcPr>
            <w:tcW w:type="dxa" w:w="2200"/>
            <w:shd w:fill="D9D9D9" w:val="clear"/>
          </w:tcPr>
          <w:p>
            <w:pPr>
              <w:jc w:val="center"/>
            </w:pPr>
            <w:r>
              <w:rPr>
                <w:rFonts w:ascii="Times New Roman" w:cs="Times New Roman" w:eastAsia="Times New Roman" w:hAnsi="Times New Roman"/>
                <w:b/>
                <w:bCs/>
                <w:sz w:val="20"/>
                <w:szCs w:val="20"/>
              </w:rPr>
              <w:t xml:space="preserve">App</w:t>
            </w:r>
          </w:p>
        </w:tc>
        <w:tc>
          <w:tcPr>
            <w:tcW w:type="dxa" w:w="2200"/>
            <w:shd w:fill="D9D9D9" w:val="clear"/>
          </w:tcPr>
          <w:p>
            <w:pPr>
              <w:jc w:val="center"/>
            </w:pPr>
            <w:r>
              <w:rPr>
                <w:rFonts w:ascii="Times New Roman" w:cs="Times New Roman" w:eastAsia="Times New Roman" w:hAnsi="Times New Roman"/>
                <w:b/>
                <w:bCs/>
                <w:sz w:val="20"/>
                <w:szCs w:val="20"/>
              </w:rPr>
              <w:t xml:space="preserve">Target service</w:t>
            </w:r>
          </w:p>
        </w:tc>
        <w:tc>
          <w:tcPr>
            <w:tcW w:type="dxa" w:w="2600"/>
            <w:shd w:fill="D9D9D9" w:val="clear"/>
          </w:tcPr>
          <w:p>
            <w:pPr>
              <w:jc w:val="center"/>
            </w:pPr>
            <w:r>
              <w:rPr>
                <w:rFonts w:ascii="Times New Roman" w:cs="Times New Roman" w:eastAsia="Times New Roman" w:hAnsi="Times New Roman"/>
                <w:b/>
                <w:bCs/>
                <w:sz w:val="20"/>
                <w:szCs w:val="20"/>
              </w:rPr>
              <w:t xml:space="preserve">Baseline throughput (req/s)</w:t>
            </w:r>
          </w:p>
        </w:tc>
        <w:tc>
          <w:tcPr>
            <w:tcW w:type="dxa" w:w="2000"/>
            <w:shd w:fill="D9D9D9" w:val="clear"/>
          </w:tcPr>
          <w:p>
            <w:pPr>
              <w:jc w:val="center"/>
            </w:pPr>
            <w:r>
              <w:rPr>
                <w:rFonts w:ascii="Times New Roman" w:cs="Times New Roman" w:eastAsia="Times New Roman" w:hAnsi="Times New Roman"/>
                <w:b/>
                <w:bCs/>
                <w:sz w:val="20"/>
                <w:szCs w:val="20"/>
              </w:rPr>
              <w:t xml:space="preserve">RMSE (%)</w:t>
            </w:r>
          </w:p>
        </w:tc>
      </w:tr>
      <w:tr>
        <w:tc>
          <w:tcPr>
            <w:tcW w:type="dxa" w:w="2200"/>
          </w:tcPr>
          <w:p>
            <w:pPr>
              <w:jc w:val="center"/>
            </w:pPr>
            <w:r>
              <w:rPr>
                <w:rFonts w:ascii="Times New Roman" w:cs="Times New Roman" w:eastAsia="Times New Roman" w:hAnsi="Times New Roman"/>
                <w:b w:val="false"/>
                <w:bCs w:val="false"/>
                <w:sz w:val="20"/>
                <w:szCs w:val="20"/>
              </w:rPr>
              <w:t xml:space="preserve">Boutique</w:t>
            </w:r>
          </w:p>
        </w:tc>
        <w:tc>
          <w:tcPr>
            <w:tcW w:type="dxa" w:w="2200"/>
          </w:tcPr>
          <w:p>
            <w:pPr>
              <w:jc w:val="center"/>
            </w:pPr>
            <w:r>
              <w:rPr>
                <w:rFonts w:ascii="Times New Roman" w:cs="Times New Roman" w:eastAsia="Times New Roman" w:hAnsi="Times New Roman"/>
                <w:b w:val="false"/>
                <w:bCs w:val="false"/>
                <w:sz w:val="20"/>
                <w:szCs w:val="20"/>
              </w:rPr>
              <w:t xml:space="preserve">cart</w:t>
            </w:r>
          </w:p>
        </w:tc>
        <w:tc>
          <w:tcPr>
            <w:tcW w:type="dxa" w:w="2600"/>
          </w:tcPr>
          <w:p>
            <w:pPr>
              <w:jc w:val="center"/>
            </w:pPr>
            <w:r>
              <w:rPr>
                <w:rFonts w:ascii="Times New Roman" w:cs="Times New Roman" w:eastAsia="Times New Roman" w:hAnsi="Times New Roman"/>
                <w:b w:val="false"/>
                <w:bCs w:val="false"/>
                <w:sz w:val="20"/>
                <w:szCs w:val="20"/>
              </w:rPr>
              <w:t xml:space="preserve">1937.3</w:t>
            </w:r>
          </w:p>
        </w:tc>
        <w:tc>
          <w:tcPr>
            <w:tcW w:type="dxa" w:w="2000"/>
          </w:tcPr>
          <w:p>
            <w:pPr>
              <w:jc w:val="center"/>
            </w:pPr>
            <w:r>
              <w:rPr>
                <w:rFonts w:ascii="Times New Roman" w:cs="Times New Roman" w:eastAsia="Times New Roman" w:hAnsi="Times New Roman"/>
                <w:b w:val="false"/>
                <w:bCs w:val="false"/>
                <w:sz w:val="20"/>
                <w:szCs w:val="20"/>
              </w:rPr>
              <w:t xml:space="preserve">2.57</w:t>
            </w:r>
          </w:p>
        </w:tc>
      </w:tr>
      <w:tr>
        <w:tc>
          <w:tcPr>
            <w:tcW w:type="dxa" w:w="2200"/>
          </w:tcPr>
          <w:p>
            <w:pPr>
              <w:jc w:val="center"/>
            </w:pPr>
            <w:r>
              <w:rPr>
                <w:rFonts w:ascii="Times New Roman" w:cs="Times New Roman" w:eastAsia="Times New Roman" w:hAnsi="Times New Roman"/>
                <w:b w:val="false"/>
                <w:bCs w:val="false"/>
                <w:sz w:val="20"/>
                <w:szCs w:val="20"/>
              </w:rPr>
              <w:t xml:space="preserve">Hotel</w:t>
            </w:r>
          </w:p>
        </w:tc>
        <w:tc>
          <w:tcPr>
            <w:tcW w:type="dxa" w:w="2200"/>
          </w:tcPr>
          <w:p>
            <w:pPr>
              <w:jc w:val="center"/>
            </w:pPr>
            <w:r>
              <w:rPr>
                <w:rFonts w:ascii="Times New Roman" w:cs="Times New Roman" w:eastAsia="Times New Roman" w:hAnsi="Times New Roman"/>
                <w:b w:val="false"/>
                <w:bCs w:val="false"/>
                <w:sz w:val="20"/>
                <w:szCs w:val="20"/>
              </w:rPr>
              <w:t xml:space="preserve">profile</w:t>
            </w:r>
          </w:p>
        </w:tc>
        <w:tc>
          <w:tcPr>
            <w:tcW w:type="dxa" w:w="2600"/>
          </w:tcPr>
          <w:p>
            <w:pPr>
              <w:jc w:val="center"/>
            </w:pPr>
            <w:r>
              <w:rPr>
                <w:rFonts w:ascii="Times New Roman" w:cs="Times New Roman" w:eastAsia="Times New Roman" w:hAnsi="Times New Roman"/>
                <w:b w:val="false"/>
                <w:bCs w:val="false"/>
                <w:sz w:val="20"/>
                <w:szCs w:val="20"/>
              </w:rPr>
              <w:t xml:space="preserve">723.9</w:t>
            </w:r>
          </w:p>
        </w:tc>
        <w:tc>
          <w:tcPr>
            <w:tcW w:type="dxa" w:w="2000"/>
          </w:tcPr>
          <w:p>
            <w:pPr>
              <w:jc w:val="center"/>
            </w:pPr>
            <w:r>
              <w:rPr>
                <w:rFonts w:ascii="Times New Roman" w:cs="Times New Roman" w:eastAsia="Times New Roman" w:hAnsi="Times New Roman"/>
                <w:b w:val="false"/>
                <w:bCs w:val="false"/>
                <w:sz w:val="20"/>
                <w:szCs w:val="20"/>
              </w:rPr>
              <w:t xml:space="preserve">20.65</w:t>
            </w:r>
          </w:p>
        </w:tc>
      </w:tr>
      <w:tr>
        <w:tc>
          <w:tcPr>
            <w:tcW w:type="dxa" w:w="2200"/>
          </w:tcPr>
          <w:p>
            <w:pPr>
              <w:jc w:val="center"/>
            </w:pPr>
            <w:r>
              <w:rPr>
                <w:rFonts w:ascii="Times New Roman" w:cs="Times New Roman" w:eastAsia="Times New Roman" w:hAnsi="Times New Roman"/>
                <w:b w:val="false"/>
                <w:bCs w:val="false"/>
                <w:sz w:val="20"/>
                <w:szCs w:val="20"/>
              </w:rPr>
              <w:t xml:space="preserve">Social</w:t>
            </w:r>
          </w:p>
        </w:tc>
        <w:tc>
          <w:tcPr>
            <w:tcW w:type="dxa" w:w="2200"/>
          </w:tcPr>
          <w:p>
            <w:pPr>
              <w:jc w:val="center"/>
            </w:pPr>
            <w:r>
              <w:rPr>
                <w:rFonts w:ascii="Times New Roman" w:cs="Times New Roman" w:eastAsia="Times New Roman" w:hAnsi="Times New Roman"/>
                <w:b w:val="false"/>
                <w:bCs w:val="false"/>
                <w:sz w:val="20"/>
                <w:szCs w:val="20"/>
              </w:rPr>
              <w:t xml:space="preserve">hometimeline</w:t>
            </w:r>
          </w:p>
        </w:tc>
        <w:tc>
          <w:tcPr>
            <w:tcW w:type="dxa" w:w="2600"/>
          </w:tcPr>
          <w:p>
            <w:pPr>
              <w:jc w:val="center"/>
            </w:pPr>
            <w:r>
              <w:rPr>
                <w:rFonts w:ascii="Times New Roman" w:cs="Times New Roman" w:eastAsia="Times New Roman" w:hAnsi="Times New Roman"/>
                <w:b w:val="false"/>
                <w:bCs w:val="false"/>
                <w:sz w:val="20"/>
                <w:szCs w:val="20"/>
              </w:rPr>
              <w:t xml:space="preserve">959.9</w:t>
            </w:r>
          </w:p>
        </w:tc>
        <w:tc>
          <w:tcPr>
            <w:tcW w:type="dxa" w:w="2000"/>
          </w:tcPr>
          <w:p>
            <w:pPr>
              <w:jc w:val="center"/>
            </w:pPr>
            <w:r>
              <w:rPr>
                <w:rFonts w:ascii="Times New Roman" w:cs="Times New Roman" w:eastAsia="Times New Roman" w:hAnsi="Times New Roman"/>
                <w:b w:val="false"/>
                <w:bCs w:val="false"/>
                <w:sz w:val="20"/>
                <w:szCs w:val="20"/>
              </w:rPr>
              <w:t xml:space="preserve">14.01</w:t>
            </w:r>
          </w:p>
        </w:tc>
      </w:tr>
      <w:tr>
        <w:tc>
          <w:tcPr>
            <w:tcW w:type="dxa" w:w="2200"/>
          </w:tcPr>
          <w:p>
            <w:pPr>
              <w:jc w:val="center"/>
            </w:pPr>
            <w:r>
              <w:rPr>
                <w:rFonts w:ascii="Times New Roman" w:cs="Times New Roman" w:eastAsia="Times New Roman" w:hAnsi="Times New Roman"/>
                <w:b w:val="false"/>
                <w:bCs w:val="false"/>
                <w:sz w:val="20"/>
                <w:szCs w:val="20"/>
              </w:rPr>
              <w:t xml:space="preserve">Movie</w:t>
            </w:r>
          </w:p>
        </w:tc>
        <w:tc>
          <w:tcPr>
            <w:tcW w:type="dxa" w:w="2200"/>
          </w:tcPr>
          <w:p>
            <w:pPr>
              <w:jc w:val="center"/>
            </w:pPr>
            <w:r>
              <w:rPr>
                <w:rFonts w:ascii="Times New Roman" w:cs="Times New Roman" w:eastAsia="Times New Roman" w:hAnsi="Times New Roman"/>
                <w:b w:val="false"/>
                <w:bCs w:val="false"/>
                <w:sz w:val="20"/>
                <w:szCs w:val="20"/>
              </w:rPr>
              <w:t xml:space="preserve">moviereviews</w:t>
            </w:r>
          </w:p>
        </w:tc>
        <w:tc>
          <w:tcPr>
            <w:tcW w:type="dxa" w:w="2600"/>
          </w:tcPr>
          <w:p>
            <w:pPr>
              <w:jc w:val="center"/>
            </w:pPr>
            <w:r>
              <w:rPr>
                <w:rFonts w:ascii="Times New Roman" w:cs="Times New Roman" w:eastAsia="Times New Roman" w:hAnsi="Times New Roman"/>
                <w:b w:val="false"/>
                <w:bCs w:val="false"/>
                <w:sz w:val="20"/>
                <w:szCs w:val="20"/>
              </w:rPr>
              <w:t xml:space="preserve">550.8</w:t>
            </w:r>
          </w:p>
        </w:tc>
        <w:tc>
          <w:tcPr>
            <w:tcW w:type="dxa" w:w="2000"/>
          </w:tcPr>
          <w:p>
            <w:pPr>
              <w:jc w:val="center"/>
            </w:pPr>
            <w:r>
              <w:rPr>
                <w:rFonts w:ascii="Times New Roman" w:cs="Times New Roman" w:eastAsia="Times New Roman" w:hAnsi="Times New Roman"/>
                <w:b w:val="false"/>
                <w:bCs w:val="false"/>
                <w:sz w:val="20"/>
                <w:szCs w:val="20"/>
              </w:rPr>
              <w:t xml:space="preserve">12.21</w:t>
            </w:r>
          </w:p>
        </w:tc>
      </w:tr>
    </w:tbl>
    <w:p>
      <w:pPr>
        <w:spacing w:after="200" w:line="360"/>
        <w:jc w:val="both"/>
      </w:pPr>
      <w:r>
        <w:rPr>
          <w:rFonts w:ascii="Times New Roman" w:cs="Times New Roman" w:eastAsia="Times New Roman" w:hAnsi="Times New Roman"/>
          <w:sz w:val="24"/>
          <w:szCs w:val="24"/>
        </w:rPr>
        <w:t xml:space="preserve">Boutique's cart target reproduces the paper's own headline accuracy closely: 2.57% RMSE against the paper's reported 2.07%, the smallest gap between this project's cluster and the published number of any of the four applications. The other three targets, all of which sit on request paths with real downstream dependencies (established precisely in Chapter 6), show substantially higher error even with no injected stress at all: 20.65% for hotel, 14.01% for social, 12.21% for movie. This is the first piece of evidence for this thesis's central claim, that SlowPoke's accuracy is not uniform across services and tracks, at least loosely, with how much synchronous I/O sits on a target's causal path.</w:t>
      </w:r>
    </w:p>
    <w:p>
      <w:pPr>
        <w:pStyle w:val="Heading2"/>
        <w:spacing w:after="150" w:before="300"/>
      </w:pPr>
      <w:r>
        <w:rPr>
          <w:rFonts w:ascii="Times New Roman" w:cs="Times New Roman" w:eastAsia="Times New Roman" w:hAnsi="Times New Roman"/>
          <w:b/>
          <w:bCs/>
          <w:sz w:val="28"/>
          <w:szCs w:val="28"/>
        </w:rPr>
        <w:t xml:space="preserve">3.3 I/O-Gap Injection Design</w:t>
      </w:r>
    </w:p>
    <w:p>
      <w:pPr>
        <w:spacing w:after="200" w:line="360"/>
        <w:jc w:val="both"/>
      </w:pPr>
      <w:r>
        <w:rPr>
          <w:rFonts w:ascii="Times New Roman" w:cs="Times New Roman" w:eastAsia="Times New Roman" w:hAnsi="Times New Roman"/>
          <w:sz w:val="24"/>
          <w:szCs w:val="24"/>
        </w:rPr>
        <w:t xml:space="preserve">A baseline comparison across different applications is suggestive but not conclusive: hotel, social, and movie differ from boutique in many ways besides their I/O characteristics, so higher baseline error alone does not prove I/O is the cause. A stronger test holds the application fixed and deliberately varies only the amount of synchronous I/O on the path, while keeping the causal target the same throughout.</w:t>
      </w:r>
    </w:p>
    <w:p>
      <w:pPr>
        <w:spacing w:after="200" w:line="360"/>
        <w:jc w:val="both"/>
      </w:pPr>
      <w:r>
        <w:rPr>
          <w:rFonts w:ascii="Times New Roman" w:cs="Times New Roman" w:eastAsia="Times New Roman" w:hAnsi="Times New Roman"/>
          <w:sz w:val="24"/>
          <w:szCs w:val="24"/>
        </w:rPr>
        <w:t xml:space="preserve">This chapter does that using Linux's netem network emulator, applied via tc to the services immediately downstream of each application's causal target, not to the target itself. Two injection levels were defined per application. L1 adds a moderate, fixed delay (30 milliseconds) to one downstream service call. L2 adds a heavier delay (50 milliseconds) to that same call and a further 30 milliseconds to a second downstream service, so that the amount of synchronous I/O stress on the path increases monotonically from L0 (none) to L1 to L2. The specific services injected differ per application, chosen to sit on each target's actual request path: product_catalog and currency for boutique's cart, rate and user for hotel's profile, poststorage and socialgraph for social's hometimeline, reviewstorage and movieinfo for movie's moviereviews.</w:t>
      </w:r>
    </w:p>
    <w:p>
      <w:pPr>
        <w:spacing w:after="200" w:line="360"/>
        <w:jc w:val="both"/>
      </w:pPr>
      <w:r>
        <w:rPr>
          <w:rFonts w:ascii="Times New Roman" w:cs="Times New Roman" w:eastAsia="Times New Roman" w:hAnsi="Times New Roman"/>
          <w:sz w:val="24"/>
          <w:szCs w:val="24"/>
        </w:rPr>
        <w:t xml:space="preserve">It is important to be precise about what this design measures and what it does not. The injected delay is static: it applies for the whole duration of a run, not synchronised to SlowPoke's own SIGSTOP pause windows the way NetPoke's mechanism in Chapter 5 is. This makes netem injection a useful stimulus for testing whether more I/O on a path produces more prediction error in aggregate, but not a precise instrument for measuring how much I/O specifically leaks through a pause window. Chapter 4 introduces a second, direct measurement that addresses that gap; this chapter's result should be read as establishing that an I/O-sensitivity effect exists, not as a precise measurement of it.</w:t>
      </w:r>
    </w:p>
    <w:p>
      <w:pPr>
        <w:pStyle w:val="Heading2"/>
        <w:spacing w:after="150" w:before="300"/>
      </w:pPr>
      <w:r>
        <w:rPr>
          <w:rFonts w:ascii="Times New Roman" w:cs="Times New Roman" w:eastAsia="Times New Roman" w:hAnsi="Times New Roman"/>
          <w:b/>
          <w:bCs/>
          <w:sz w:val="28"/>
          <w:szCs w:val="28"/>
        </w:rPr>
        <w:t xml:space="preserve">3.4 Results</w:t>
      </w:r>
    </w:p>
    <w:p>
      <w:pPr>
        <w:spacing w:after="100" w:before="200"/>
        <w:jc w:val="left"/>
      </w:pPr>
      <w:r>
        <w:rPr>
          <w:rFonts w:ascii="Times New Roman" w:cs="Times New Roman" w:eastAsia="Times New Roman" w:hAnsi="Times New Roman"/>
          <w:b/>
          <w:bCs/>
          <w:sz w:val="24"/>
          <w:szCs w:val="24"/>
        </w:rPr>
        <w:t xml:space="preserve">Table 3.2: RMSE across injection levels, all four applications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800"/>
      </w:tblGrid>
      <w:tr>
        <w:tc>
          <w:tcPr>
            <w:tcW w:type="dxa" w:w="1800"/>
            <w:shd w:fill="D9D9D9" w:val="clear"/>
          </w:tcPr>
          <w:p>
            <w:pPr>
              <w:jc w:val="center"/>
            </w:pPr>
            <w:r>
              <w:rPr>
                <w:rFonts w:ascii="Times New Roman" w:cs="Times New Roman" w:eastAsia="Times New Roman" w:hAnsi="Times New Roman"/>
                <w:b/>
                <w:bCs/>
                <w:sz w:val="20"/>
                <w:szCs w:val="20"/>
              </w:rPr>
              <w:t xml:space="preserve">App</w:t>
            </w:r>
          </w:p>
        </w:tc>
        <w:tc>
          <w:tcPr>
            <w:tcW w:type="dxa" w:w="1200"/>
            <w:shd w:fill="D9D9D9" w:val="clear"/>
          </w:tcPr>
          <w:p>
            <w:pPr>
              <w:jc w:val="center"/>
            </w:pPr>
            <w:r>
              <w:rPr>
                <w:rFonts w:ascii="Times New Roman" w:cs="Times New Roman" w:eastAsia="Times New Roman" w:hAnsi="Times New Roman"/>
                <w:b/>
                <w:bCs/>
                <w:sz w:val="20"/>
                <w:szCs w:val="20"/>
              </w:rPr>
              <w:t xml:space="preserve">Level</w:t>
            </w:r>
          </w:p>
        </w:tc>
        <w:tc>
          <w:tcPr>
            <w:tcW w:type="dxa" w:w="2400"/>
            <w:shd w:fill="D9D9D9" w:val="clear"/>
          </w:tcPr>
          <w:p>
            <w:pPr>
              <w:jc w:val="center"/>
            </w:pPr>
            <w:r>
              <w:rPr>
                <w:rFonts w:ascii="Times New Roman" w:cs="Times New Roman" w:eastAsia="Times New Roman" w:hAnsi="Times New Roman"/>
                <w:b/>
                <w:bCs/>
                <w:sz w:val="20"/>
                <w:szCs w:val="20"/>
              </w:rPr>
              <w:t xml:space="preserve">Injection (downstream path)</w:t>
            </w:r>
          </w:p>
        </w:tc>
        <w:tc>
          <w:tcPr>
            <w:tcW w:type="dxa" w:w="1800"/>
            <w:shd w:fill="D9D9D9" w:val="clear"/>
          </w:tcPr>
          <w:p>
            <w:pPr>
              <w:jc w:val="center"/>
            </w:pPr>
            <w:r>
              <w:rPr>
                <w:rFonts w:ascii="Times New Roman" w:cs="Times New Roman" w:eastAsia="Times New Roman" w:hAnsi="Times New Roman"/>
                <w:b/>
                <w:bCs/>
                <w:sz w:val="20"/>
                <w:szCs w:val="20"/>
              </w:rPr>
              <w:t xml:space="preserve">RMSE (%)</w:t>
            </w:r>
          </w:p>
        </w:tc>
      </w:tr>
      <w:tr>
        <w:tc>
          <w:tcPr>
            <w:tcW w:type="dxa" w:w="1800"/>
          </w:tcPr>
          <w:p>
            <w:pPr>
              <w:jc w:val="center"/>
            </w:pPr>
            <w:r>
              <w:rPr>
                <w:rFonts w:ascii="Times New Roman" w:cs="Times New Roman" w:eastAsia="Times New Roman" w:hAnsi="Times New Roman"/>
                <w:b w:val="false"/>
                <w:bCs w:val="false"/>
                <w:sz w:val="20"/>
                <w:szCs w:val="20"/>
              </w:rPr>
              <w:t xml:space="preserve">Boutique</w:t>
            </w:r>
          </w:p>
        </w:tc>
        <w:tc>
          <w:tcPr>
            <w:tcW w:type="dxa" w:w="1200"/>
          </w:tcPr>
          <w:p>
            <w:pPr>
              <w:jc w:val="center"/>
            </w:pPr>
            <w:r>
              <w:rPr>
                <w:rFonts w:ascii="Times New Roman" w:cs="Times New Roman" w:eastAsia="Times New Roman" w:hAnsi="Times New Roman"/>
                <w:b w:val="false"/>
                <w:bCs w:val="false"/>
                <w:sz w:val="20"/>
                <w:szCs w:val="20"/>
              </w:rPr>
              <w:t xml:space="preserve">L0</w:t>
            </w:r>
          </w:p>
        </w:tc>
        <w:tc>
          <w:tcPr>
            <w:tcW w:type="dxa" w:w="2400"/>
          </w:tcPr>
          <w:p>
            <w:pPr>
              <w:jc w:val="center"/>
            </w:pPr>
            <w:r>
              <w:rPr>
                <w:rFonts w:ascii="Times New Roman" w:cs="Times New Roman" w:eastAsia="Times New Roman" w:hAnsi="Times New Roman"/>
                <w:b w:val="false"/>
                <w:bCs w:val="false"/>
                <w:sz w:val="20"/>
                <w:szCs w:val="20"/>
              </w:rPr>
              <w:t xml:space="preserve">none</w:t>
            </w:r>
          </w:p>
        </w:tc>
        <w:tc>
          <w:tcPr>
            <w:tcW w:type="dxa" w:w="1800"/>
          </w:tcPr>
          <w:p>
            <w:pPr>
              <w:jc w:val="center"/>
            </w:pPr>
            <w:r>
              <w:rPr>
                <w:rFonts w:ascii="Times New Roman" w:cs="Times New Roman" w:eastAsia="Times New Roman" w:hAnsi="Times New Roman"/>
                <w:b w:val="false"/>
                <w:bCs w:val="false"/>
                <w:sz w:val="20"/>
                <w:szCs w:val="20"/>
              </w:rPr>
              <w:t xml:space="preserve">2.57</w:t>
            </w:r>
          </w:p>
        </w:tc>
      </w:tr>
      <w:tr>
        <w:tc>
          <w:tcPr>
            <w:tcW w:type="dxa" w:w="1800"/>
          </w:tcPr>
          <w:p>
            <w:pPr>
              <w:jc w:val="center"/>
            </w:pPr>
            <w:r>
              <w:rPr>
                <w:rFonts w:ascii="Times New Roman" w:cs="Times New Roman" w:eastAsia="Times New Roman" w:hAnsi="Times New Roman"/>
                <w:b w:val="false"/>
                <w:bCs w:val="false"/>
                <w:sz w:val="20"/>
                <w:szCs w:val="20"/>
              </w:rPr>
              <w:t xml:space="preserve">Boutique</w:t>
            </w:r>
          </w:p>
        </w:tc>
        <w:tc>
          <w:tcPr>
            <w:tcW w:type="dxa" w:w="1200"/>
          </w:tcPr>
          <w:p>
            <w:pPr>
              <w:jc w:val="center"/>
            </w:pPr>
            <w:r>
              <w:rPr>
                <w:rFonts w:ascii="Times New Roman" w:cs="Times New Roman" w:eastAsia="Times New Roman" w:hAnsi="Times New Roman"/>
                <w:b w:val="false"/>
                <w:bCs w:val="false"/>
                <w:sz w:val="20"/>
                <w:szCs w:val="20"/>
              </w:rPr>
              <w:t xml:space="preserve">L1</w:t>
            </w:r>
          </w:p>
        </w:tc>
        <w:tc>
          <w:tcPr>
            <w:tcW w:type="dxa" w:w="2400"/>
          </w:tcPr>
          <w:p>
            <w:pPr>
              <w:jc w:val="center"/>
            </w:pPr>
            <w:r>
              <w:rPr>
                <w:rFonts w:ascii="Times New Roman" w:cs="Times New Roman" w:eastAsia="Times New Roman" w:hAnsi="Times New Roman"/>
                <w:b w:val="false"/>
                <w:bCs w:val="false"/>
                <w:sz w:val="20"/>
                <w:szCs w:val="20"/>
              </w:rPr>
              <w:t xml:space="preserve">product_catalog 30ms</w:t>
            </w:r>
          </w:p>
        </w:tc>
        <w:tc>
          <w:tcPr>
            <w:tcW w:type="dxa" w:w="1800"/>
          </w:tcPr>
          <w:p>
            <w:pPr>
              <w:jc w:val="center"/>
            </w:pPr>
            <w:r>
              <w:rPr>
                <w:rFonts w:ascii="Times New Roman" w:cs="Times New Roman" w:eastAsia="Times New Roman" w:hAnsi="Times New Roman"/>
                <w:b w:val="false"/>
                <w:bCs w:val="false"/>
                <w:sz w:val="20"/>
                <w:szCs w:val="20"/>
              </w:rPr>
              <w:t xml:space="preserve">4.85</w:t>
            </w:r>
          </w:p>
        </w:tc>
      </w:tr>
      <w:tr>
        <w:tc>
          <w:tcPr>
            <w:tcW w:type="dxa" w:w="1800"/>
          </w:tcPr>
          <w:p>
            <w:pPr>
              <w:jc w:val="center"/>
            </w:pPr>
            <w:r>
              <w:rPr>
                <w:rFonts w:ascii="Times New Roman" w:cs="Times New Roman" w:eastAsia="Times New Roman" w:hAnsi="Times New Roman"/>
                <w:b w:val="false"/>
                <w:bCs w:val="false"/>
                <w:sz w:val="20"/>
                <w:szCs w:val="20"/>
              </w:rPr>
              <w:t xml:space="preserve">Boutique</w:t>
            </w:r>
          </w:p>
        </w:tc>
        <w:tc>
          <w:tcPr>
            <w:tcW w:type="dxa" w:w="1200"/>
          </w:tcPr>
          <w:p>
            <w:pPr>
              <w:jc w:val="center"/>
            </w:pPr>
            <w:r>
              <w:rPr>
                <w:rFonts w:ascii="Times New Roman" w:cs="Times New Roman" w:eastAsia="Times New Roman" w:hAnsi="Times New Roman"/>
                <w:b w:val="false"/>
                <w:bCs w:val="false"/>
                <w:sz w:val="20"/>
                <w:szCs w:val="20"/>
              </w:rPr>
              <w:t xml:space="preserve">L2</w:t>
            </w:r>
          </w:p>
        </w:tc>
        <w:tc>
          <w:tcPr>
            <w:tcW w:type="dxa" w:w="2400"/>
          </w:tcPr>
          <w:p>
            <w:pPr>
              <w:jc w:val="center"/>
            </w:pPr>
            <w:r>
              <w:rPr>
                <w:rFonts w:ascii="Times New Roman" w:cs="Times New Roman" w:eastAsia="Times New Roman" w:hAnsi="Times New Roman"/>
                <w:b w:val="false"/>
                <w:bCs w:val="false"/>
                <w:sz w:val="20"/>
                <w:szCs w:val="20"/>
              </w:rPr>
              <w:t xml:space="preserve">product_catalog 50ms, currency 30ms</w:t>
            </w:r>
          </w:p>
        </w:tc>
        <w:tc>
          <w:tcPr>
            <w:tcW w:type="dxa" w:w="1800"/>
          </w:tcPr>
          <w:p>
            <w:pPr>
              <w:jc w:val="center"/>
            </w:pPr>
            <w:r>
              <w:rPr>
                <w:rFonts w:ascii="Times New Roman" w:cs="Times New Roman" w:eastAsia="Times New Roman" w:hAnsi="Times New Roman"/>
                <w:b w:val="false"/>
                <w:bCs w:val="false"/>
                <w:sz w:val="20"/>
                <w:szCs w:val="20"/>
              </w:rPr>
              <w:t xml:space="preserve">3.53</w:t>
            </w:r>
          </w:p>
        </w:tc>
      </w:tr>
      <w:tr>
        <w:tc>
          <w:tcPr>
            <w:tcW w:type="dxa" w:w="1800"/>
          </w:tcPr>
          <w:p>
            <w:pPr>
              <w:jc w:val="center"/>
            </w:pPr>
            <w:r>
              <w:rPr>
                <w:rFonts w:ascii="Times New Roman" w:cs="Times New Roman" w:eastAsia="Times New Roman" w:hAnsi="Times New Roman"/>
                <w:b w:val="false"/>
                <w:bCs w:val="false"/>
                <w:sz w:val="20"/>
                <w:szCs w:val="20"/>
              </w:rPr>
              <w:t xml:space="preserve">Hotel</w:t>
            </w:r>
          </w:p>
        </w:tc>
        <w:tc>
          <w:tcPr>
            <w:tcW w:type="dxa" w:w="1200"/>
          </w:tcPr>
          <w:p>
            <w:pPr>
              <w:jc w:val="center"/>
            </w:pPr>
            <w:r>
              <w:rPr>
                <w:rFonts w:ascii="Times New Roman" w:cs="Times New Roman" w:eastAsia="Times New Roman" w:hAnsi="Times New Roman"/>
                <w:b w:val="false"/>
                <w:bCs w:val="false"/>
                <w:sz w:val="20"/>
                <w:szCs w:val="20"/>
              </w:rPr>
              <w:t xml:space="preserve">L0</w:t>
            </w:r>
          </w:p>
        </w:tc>
        <w:tc>
          <w:tcPr>
            <w:tcW w:type="dxa" w:w="2400"/>
          </w:tcPr>
          <w:p>
            <w:pPr>
              <w:jc w:val="center"/>
            </w:pPr>
            <w:r>
              <w:rPr>
                <w:rFonts w:ascii="Times New Roman" w:cs="Times New Roman" w:eastAsia="Times New Roman" w:hAnsi="Times New Roman"/>
                <w:b w:val="false"/>
                <w:bCs w:val="false"/>
                <w:sz w:val="20"/>
                <w:szCs w:val="20"/>
              </w:rPr>
              <w:t xml:space="preserve">none</w:t>
            </w:r>
          </w:p>
        </w:tc>
        <w:tc>
          <w:tcPr>
            <w:tcW w:type="dxa" w:w="1800"/>
          </w:tcPr>
          <w:p>
            <w:pPr>
              <w:jc w:val="center"/>
            </w:pPr>
            <w:r>
              <w:rPr>
                <w:rFonts w:ascii="Times New Roman" w:cs="Times New Roman" w:eastAsia="Times New Roman" w:hAnsi="Times New Roman"/>
                <w:b w:val="false"/>
                <w:bCs w:val="false"/>
                <w:sz w:val="20"/>
                <w:szCs w:val="20"/>
              </w:rPr>
              <w:t xml:space="preserve">20.65</w:t>
            </w:r>
          </w:p>
        </w:tc>
      </w:tr>
      <w:tr>
        <w:tc>
          <w:tcPr>
            <w:tcW w:type="dxa" w:w="1800"/>
          </w:tcPr>
          <w:p>
            <w:pPr>
              <w:jc w:val="center"/>
            </w:pPr>
            <w:r>
              <w:rPr>
                <w:rFonts w:ascii="Times New Roman" w:cs="Times New Roman" w:eastAsia="Times New Roman" w:hAnsi="Times New Roman"/>
                <w:b w:val="false"/>
                <w:bCs w:val="false"/>
                <w:sz w:val="20"/>
                <w:szCs w:val="20"/>
              </w:rPr>
              <w:t xml:space="preserve">Hotel</w:t>
            </w:r>
          </w:p>
        </w:tc>
        <w:tc>
          <w:tcPr>
            <w:tcW w:type="dxa" w:w="1200"/>
          </w:tcPr>
          <w:p>
            <w:pPr>
              <w:jc w:val="center"/>
            </w:pPr>
            <w:r>
              <w:rPr>
                <w:rFonts w:ascii="Times New Roman" w:cs="Times New Roman" w:eastAsia="Times New Roman" w:hAnsi="Times New Roman"/>
                <w:b w:val="false"/>
                <w:bCs w:val="false"/>
                <w:sz w:val="20"/>
                <w:szCs w:val="20"/>
              </w:rPr>
              <w:t xml:space="preserve">L1</w:t>
            </w:r>
          </w:p>
        </w:tc>
        <w:tc>
          <w:tcPr>
            <w:tcW w:type="dxa" w:w="2400"/>
          </w:tcPr>
          <w:p>
            <w:pPr>
              <w:jc w:val="center"/>
            </w:pPr>
            <w:r>
              <w:rPr>
                <w:rFonts w:ascii="Times New Roman" w:cs="Times New Roman" w:eastAsia="Times New Roman" w:hAnsi="Times New Roman"/>
                <w:b w:val="false"/>
                <w:bCs w:val="false"/>
                <w:sz w:val="20"/>
                <w:szCs w:val="20"/>
              </w:rPr>
              <w:t xml:space="preserve">rate 30ms</w:t>
            </w:r>
          </w:p>
        </w:tc>
        <w:tc>
          <w:tcPr>
            <w:tcW w:type="dxa" w:w="1800"/>
          </w:tcPr>
          <w:p>
            <w:pPr>
              <w:jc w:val="center"/>
            </w:pPr>
            <w:r>
              <w:rPr>
                <w:rFonts w:ascii="Times New Roman" w:cs="Times New Roman" w:eastAsia="Times New Roman" w:hAnsi="Times New Roman"/>
                <w:b w:val="false"/>
                <w:bCs w:val="false"/>
                <w:sz w:val="20"/>
                <w:szCs w:val="20"/>
              </w:rPr>
              <w:t xml:space="preserve">20.03</w:t>
            </w:r>
          </w:p>
        </w:tc>
      </w:tr>
      <w:tr>
        <w:tc>
          <w:tcPr>
            <w:tcW w:type="dxa" w:w="1800"/>
          </w:tcPr>
          <w:p>
            <w:pPr>
              <w:jc w:val="center"/>
            </w:pPr>
            <w:r>
              <w:rPr>
                <w:rFonts w:ascii="Times New Roman" w:cs="Times New Roman" w:eastAsia="Times New Roman" w:hAnsi="Times New Roman"/>
                <w:b w:val="false"/>
                <w:bCs w:val="false"/>
                <w:sz w:val="20"/>
                <w:szCs w:val="20"/>
              </w:rPr>
              <w:t xml:space="preserve">Hotel</w:t>
            </w:r>
          </w:p>
        </w:tc>
        <w:tc>
          <w:tcPr>
            <w:tcW w:type="dxa" w:w="1200"/>
          </w:tcPr>
          <w:p>
            <w:pPr>
              <w:jc w:val="center"/>
            </w:pPr>
            <w:r>
              <w:rPr>
                <w:rFonts w:ascii="Times New Roman" w:cs="Times New Roman" w:eastAsia="Times New Roman" w:hAnsi="Times New Roman"/>
                <w:b w:val="false"/>
                <w:bCs w:val="false"/>
                <w:sz w:val="20"/>
                <w:szCs w:val="20"/>
              </w:rPr>
              <w:t xml:space="preserve">L2</w:t>
            </w:r>
          </w:p>
        </w:tc>
        <w:tc>
          <w:tcPr>
            <w:tcW w:type="dxa" w:w="2400"/>
          </w:tcPr>
          <w:p>
            <w:pPr>
              <w:jc w:val="center"/>
            </w:pPr>
            <w:r>
              <w:rPr>
                <w:rFonts w:ascii="Times New Roman" w:cs="Times New Roman" w:eastAsia="Times New Roman" w:hAnsi="Times New Roman"/>
                <w:b w:val="false"/>
                <w:bCs w:val="false"/>
                <w:sz w:val="20"/>
                <w:szCs w:val="20"/>
              </w:rPr>
              <w:t xml:space="preserve">rate 50ms, user 30ms</w:t>
            </w:r>
          </w:p>
        </w:tc>
        <w:tc>
          <w:tcPr>
            <w:tcW w:type="dxa" w:w="1800"/>
          </w:tcPr>
          <w:p>
            <w:pPr>
              <w:jc w:val="center"/>
            </w:pPr>
            <w:r>
              <w:rPr>
                <w:rFonts w:ascii="Times New Roman" w:cs="Times New Roman" w:eastAsia="Times New Roman" w:hAnsi="Times New Roman"/>
                <w:b w:val="false"/>
                <w:bCs w:val="false"/>
                <w:sz w:val="20"/>
                <w:szCs w:val="20"/>
              </w:rPr>
              <w:t xml:space="preserve">17.51</w:t>
            </w:r>
          </w:p>
        </w:tc>
      </w:tr>
      <w:tr>
        <w:tc>
          <w:tcPr>
            <w:tcW w:type="dxa" w:w="1800"/>
          </w:tcPr>
          <w:p>
            <w:pPr>
              <w:jc w:val="center"/>
            </w:pPr>
            <w:r>
              <w:rPr>
                <w:rFonts w:ascii="Times New Roman" w:cs="Times New Roman" w:eastAsia="Times New Roman" w:hAnsi="Times New Roman"/>
                <w:b w:val="false"/>
                <w:bCs w:val="false"/>
                <w:sz w:val="20"/>
                <w:szCs w:val="20"/>
              </w:rPr>
              <w:t xml:space="preserve">Social</w:t>
            </w:r>
          </w:p>
        </w:tc>
        <w:tc>
          <w:tcPr>
            <w:tcW w:type="dxa" w:w="1200"/>
          </w:tcPr>
          <w:p>
            <w:pPr>
              <w:jc w:val="center"/>
            </w:pPr>
            <w:r>
              <w:rPr>
                <w:rFonts w:ascii="Times New Roman" w:cs="Times New Roman" w:eastAsia="Times New Roman" w:hAnsi="Times New Roman"/>
                <w:b w:val="false"/>
                <w:bCs w:val="false"/>
                <w:sz w:val="20"/>
                <w:szCs w:val="20"/>
              </w:rPr>
              <w:t xml:space="preserve">L0</w:t>
            </w:r>
          </w:p>
        </w:tc>
        <w:tc>
          <w:tcPr>
            <w:tcW w:type="dxa" w:w="2400"/>
          </w:tcPr>
          <w:p>
            <w:pPr>
              <w:jc w:val="center"/>
            </w:pPr>
            <w:r>
              <w:rPr>
                <w:rFonts w:ascii="Times New Roman" w:cs="Times New Roman" w:eastAsia="Times New Roman" w:hAnsi="Times New Roman"/>
                <w:b w:val="false"/>
                <w:bCs w:val="false"/>
                <w:sz w:val="20"/>
                <w:szCs w:val="20"/>
              </w:rPr>
              <w:t xml:space="preserve">none</w:t>
            </w:r>
          </w:p>
        </w:tc>
        <w:tc>
          <w:tcPr>
            <w:tcW w:type="dxa" w:w="1800"/>
          </w:tcPr>
          <w:p>
            <w:pPr>
              <w:jc w:val="center"/>
            </w:pPr>
            <w:r>
              <w:rPr>
                <w:rFonts w:ascii="Times New Roman" w:cs="Times New Roman" w:eastAsia="Times New Roman" w:hAnsi="Times New Roman"/>
                <w:b w:val="false"/>
                <w:bCs w:val="false"/>
                <w:sz w:val="20"/>
                <w:szCs w:val="20"/>
              </w:rPr>
              <w:t xml:space="preserve">14.01</w:t>
            </w:r>
          </w:p>
        </w:tc>
      </w:tr>
      <w:tr>
        <w:tc>
          <w:tcPr>
            <w:tcW w:type="dxa" w:w="1800"/>
          </w:tcPr>
          <w:p>
            <w:pPr>
              <w:jc w:val="center"/>
            </w:pPr>
            <w:r>
              <w:rPr>
                <w:rFonts w:ascii="Times New Roman" w:cs="Times New Roman" w:eastAsia="Times New Roman" w:hAnsi="Times New Roman"/>
                <w:b w:val="false"/>
                <w:bCs w:val="false"/>
                <w:sz w:val="20"/>
                <w:szCs w:val="20"/>
              </w:rPr>
              <w:t xml:space="preserve">Social</w:t>
            </w:r>
          </w:p>
        </w:tc>
        <w:tc>
          <w:tcPr>
            <w:tcW w:type="dxa" w:w="1200"/>
          </w:tcPr>
          <w:p>
            <w:pPr>
              <w:jc w:val="center"/>
            </w:pPr>
            <w:r>
              <w:rPr>
                <w:rFonts w:ascii="Times New Roman" w:cs="Times New Roman" w:eastAsia="Times New Roman" w:hAnsi="Times New Roman"/>
                <w:b w:val="false"/>
                <w:bCs w:val="false"/>
                <w:sz w:val="20"/>
                <w:szCs w:val="20"/>
              </w:rPr>
              <w:t xml:space="preserve">L1</w:t>
            </w:r>
          </w:p>
        </w:tc>
        <w:tc>
          <w:tcPr>
            <w:tcW w:type="dxa" w:w="2400"/>
          </w:tcPr>
          <w:p>
            <w:pPr>
              <w:jc w:val="center"/>
            </w:pPr>
            <w:r>
              <w:rPr>
                <w:rFonts w:ascii="Times New Roman" w:cs="Times New Roman" w:eastAsia="Times New Roman" w:hAnsi="Times New Roman"/>
                <w:b w:val="false"/>
                <w:bCs w:val="false"/>
                <w:sz w:val="20"/>
                <w:szCs w:val="20"/>
              </w:rPr>
              <w:t xml:space="preserve">poststorage 30ms</w:t>
            </w:r>
          </w:p>
        </w:tc>
        <w:tc>
          <w:tcPr>
            <w:tcW w:type="dxa" w:w="1800"/>
          </w:tcPr>
          <w:p>
            <w:pPr>
              <w:jc w:val="center"/>
            </w:pPr>
            <w:r>
              <w:rPr>
                <w:rFonts w:ascii="Times New Roman" w:cs="Times New Roman" w:eastAsia="Times New Roman" w:hAnsi="Times New Roman"/>
                <w:b w:val="false"/>
                <w:bCs w:val="false"/>
                <w:sz w:val="20"/>
                <w:szCs w:val="20"/>
              </w:rPr>
              <w:t xml:space="preserve">30.33</w:t>
            </w:r>
          </w:p>
        </w:tc>
      </w:tr>
      <w:tr>
        <w:tc>
          <w:tcPr>
            <w:tcW w:type="dxa" w:w="1800"/>
          </w:tcPr>
          <w:p>
            <w:pPr>
              <w:jc w:val="center"/>
            </w:pPr>
            <w:r>
              <w:rPr>
                <w:rFonts w:ascii="Times New Roman" w:cs="Times New Roman" w:eastAsia="Times New Roman" w:hAnsi="Times New Roman"/>
                <w:b w:val="false"/>
                <w:bCs w:val="false"/>
                <w:sz w:val="20"/>
                <w:szCs w:val="20"/>
              </w:rPr>
              <w:t xml:space="preserve">Social</w:t>
            </w:r>
          </w:p>
        </w:tc>
        <w:tc>
          <w:tcPr>
            <w:tcW w:type="dxa" w:w="1200"/>
          </w:tcPr>
          <w:p>
            <w:pPr>
              <w:jc w:val="center"/>
            </w:pPr>
            <w:r>
              <w:rPr>
                <w:rFonts w:ascii="Times New Roman" w:cs="Times New Roman" w:eastAsia="Times New Roman" w:hAnsi="Times New Roman"/>
                <w:b w:val="false"/>
                <w:bCs w:val="false"/>
                <w:sz w:val="20"/>
                <w:szCs w:val="20"/>
              </w:rPr>
              <w:t xml:space="preserve">L2</w:t>
            </w:r>
          </w:p>
        </w:tc>
        <w:tc>
          <w:tcPr>
            <w:tcW w:type="dxa" w:w="2400"/>
          </w:tcPr>
          <w:p>
            <w:pPr>
              <w:jc w:val="center"/>
            </w:pPr>
            <w:r>
              <w:rPr>
                <w:rFonts w:ascii="Times New Roman" w:cs="Times New Roman" w:eastAsia="Times New Roman" w:hAnsi="Times New Roman"/>
                <w:b w:val="false"/>
                <w:bCs w:val="false"/>
                <w:sz w:val="20"/>
                <w:szCs w:val="20"/>
              </w:rPr>
              <w:t xml:space="preserve">poststorage 50ms, socialgraph 30ms</w:t>
            </w:r>
          </w:p>
        </w:tc>
        <w:tc>
          <w:tcPr>
            <w:tcW w:type="dxa" w:w="1800"/>
          </w:tcPr>
          <w:p>
            <w:pPr>
              <w:jc w:val="center"/>
            </w:pPr>
            <w:r>
              <w:rPr>
                <w:rFonts w:ascii="Times New Roman" w:cs="Times New Roman" w:eastAsia="Times New Roman" w:hAnsi="Times New Roman"/>
                <w:b w:val="false"/>
                <w:bCs w:val="false"/>
                <w:sz w:val="20"/>
                <w:szCs w:val="20"/>
              </w:rPr>
              <w:t xml:space="preserve">33.61</w:t>
            </w:r>
          </w:p>
        </w:tc>
      </w:tr>
      <w:tr>
        <w:tc>
          <w:tcPr>
            <w:tcW w:type="dxa" w:w="1800"/>
          </w:tcPr>
          <w:p>
            <w:pPr>
              <w:jc w:val="center"/>
            </w:pPr>
            <w:r>
              <w:rPr>
                <w:rFonts w:ascii="Times New Roman" w:cs="Times New Roman" w:eastAsia="Times New Roman" w:hAnsi="Times New Roman"/>
                <w:b w:val="false"/>
                <w:bCs w:val="false"/>
                <w:sz w:val="20"/>
                <w:szCs w:val="20"/>
              </w:rPr>
              <w:t xml:space="preserve">Movie</w:t>
            </w:r>
          </w:p>
        </w:tc>
        <w:tc>
          <w:tcPr>
            <w:tcW w:type="dxa" w:w="1200"/>
          </w:tcPr>
          <w:p>
            <w:pPr>
              <w:jc w:val="center"/>
            </w:pPr>
            <w:r>
              <w:rPr>
                <w:rFonts w:ascii="Times New Roman" w:cs="Times New Roman" w:eastAsia="Times New Roman" w:hAnsi="Times New Roman"/>
                <w:b w:val="false"/>
                <w:bCs w:val="false"/>
                <w:sz w:val="20"/>
                <w:szCs w:val="20"/>
              </w:rPr>
              <w:t xml:space="preserve">L0</w:t>
            </w:r>
          </w:p>
        </w:tc>
        <w:tc>
          <w:tcPr>
            <w:tcW w:type="dxa" w:w="2400"/>
          </w:tcPr>
          <w:p>
            <w:pPr>
              <w:jc w:val="center"/>
            </w:pPr>
            <w:r>
              <w:rPr>
                <w:rFonts w:ascii="Times New Roman" w:cs="Times New Roman" w:eastAsia="Times New Roman" w:hAnsi="Times New Roman"/>
                <w:b w:val="false"/>
                <w:bCs w:val="false"/>
                <w:sz w:val="20"/>
                <w:szCs w:val="20"/>
              </w:rPr>
              <w:t xml:space="preserve">none</w:t>
            </w:r>
          </w:p>
        </w:tc>
        <w:tc>
          <w:tcPr>
            <w:tcW w:type="dxa" w:w="1800"/>
          </w:tcPr>
          <w:p>
            <w:pPr>
              <w:jc w:val="center"/>
            </w:pPr>
            <w:r>
              <w:rPr>
                <w:rFonts w:ascii="Times New Roman" w:cs="Times New Roman" w:eastAsia="Times New Roman" w:hAnsi="Times New Roman"/>
                <w:b w:val="false"/>
                <w:bCs w:val="false"/>
                <w:sz w:val="20"/>
                <w:szCs w:val="20"/>
              </w:rPr>
              <w:t xml:space="preserve">12.21</w:t>
            </w:r>
          </w:p>
        </w:tc>
      </w:tr>
      <w:tr>
        <w:tc>
          <w:tcPr>
            <w:tcW w:type="dxa" w:w="1800"/>
          </w:tcPr>
          <w:p>
            <w:pPr>
              <w:jc w:val="center"/>
            </w:pPr>
            <w:r>
              <w:rPr>
                <w:rFonts w:ascii="Times New Roman" w:cs="Times New Roman" w:eastAsia="Times New Roman" w:hAnsi="Times New Roman"/>
                <w:b w:val="false"/>
                <w:bCs w:val="false"/>
                <w:sz w:val="20"/>
                <w:szCs w:val="20"/>
              </w:rPr>
              <w:t xml:space="preserve">Movie</w:t>
            </w:r>
          </w:p>
        </w:tc>
        <w:tc>
          <w:tcPr>
            <w:tcW w:type="dxa" w:w="1200"/>
          </w:tcPr>
          <w:p>
            <w:pPr>
              <w:jc w:val="center"/>
            </w:pPr>
            <w:r>
              <w:rPr>
                <w:rFonts w:ascii="Times New Roman" w:cs="Times New Roman" w:eastAsia="Times New Roman" w:hAnsi="Times New Roman"/>
                <w:b w:val="false"/>
                <w:bCs w:val="false"/>
                <w:sz w:val="20"/>
                <w:szCs w:val="20"/>
              </w:rPr>
              <w:t xml:space="preserve">L1</w:t>
            </w:r>
          </w:p>
        </w:tc>
        <w:tc>
          <w:tcPr>
            <w:tcW w:type="dxa" w:w="2400"/>
          </w:tcPr>
          <w:p>
            <w:pPr>
              <w:jc w:val="center"/>
            </w:pPr>
            <w:r>
              <w:rPr>
                <w:rFonts w:ascii="Times New Roman" w:cs="Times New Roman" w:eastAsia="Times New Roman" w:hAnsi="Times New Roman"/>
                <w:b w:val="false"/>
                <w:bCs w:val="false"/>
                <w:sz w:val="20"/>
                <w:szCs w:val="20"/>
              </w:rPr>
              <w:t xml:space="preserve">reviewstorage 30ms</w:t>
            </w:r>
          </w:p>
        </w:tc>
        <w:tc>
          <w:tcPr>
            <w:tcW w:type="dxa" w:w="1800"/>
          </w:tcPr>
          <w:p>
            <w:pPr>
              <w:jc w:val="center"/>
            </w:pPr>
            <w:r>
              <w:rPr>
                <w:rFonts w:ascii="Times New Roman" w:cs="Times New Roman" w:eastAsia="Times New Roman" w:hAnsi="Times New Roman"/>
                <w:b w:val="false"/>
                <w:bCs w:val="false"/>
                <w:sz w:val="20"/>
                <w:szCs w:val="20"/>
              </w:rPr>
              <w:t xml:space="preserve">28.48</w:t>
            </w:r>
          </w:p>
        </w:tc>
      </w:tr>
      <w:tr>
        <w:tc>
          <w:tcPr>
            <w:tcW w:type="dxa" w:w="1800"/>
          </w:tcPr>
          <w:p>
            <w:pPr>
              <w:jc w:val="center"/>
            </w:pPr>
            <w:r>
              <w:rPr>
                <w:rFonts w:ascii="Times New Roman" w:cs="Times New Roman" w:eastAsia="Times New Roman" w:hAnsi="Times New Roman"/>
                <w:b w:val="false"/>
                <w:bCs w:val="false"/>
                <w:sz w:val="20"/>
                <w:szCs w:val="20"/>
              </w:rPr>
              <w:t xml:space="preserve">Movie</w:t>
            </w:r>
          </w:p>
        </w:tc>
        <w:tc>
          <w:tcPr>
            <w:tcW w:type="dxa" w:w="1200"/>
          </w:tcPr>
          <w:p>
            <w:pPr>
              <w:jc w:val="center"/>
            </w:pPr>
            <w:r>
              <w:rPr>
                <w:rFonts w:ascii="Times New Roman" w:cs="Times New Roman" w:eastAsia="Times New Roman" w:hAnsi="Times New Roman"/>
                <w:b w:val="false"/>
                <w:bCs w:val="false"/>
                <w:sz w:val="20"/>
                <w:szCs w:val="20"/>
              </w:rPr>
              <w:t xml:space="preserve">L2</w:t>
            </w:r>
          </w:p>
        </w:tc>
        <w:tc>
          <w:tcPr>
            <w:tcW w:type="dxa" w:w="2400"/>
          </w:tcPr>
          <w:p>
            <w:pPr>
              <w:jc w:val="center"/>
            </w:pPr>
            <w:r>
              <w:rPr>
                <w:rFonts w:ascii="Times New Roman" w:cs="Times New Roman" w:eastAsia="Times New Roman" w:hAnsi="Times New Roman"/>
                <w:b w:val="false"/>
                <w:bCs w:val="false"/>
                <w:sz w:val="20"/>
                <w:szCs w:val="20"/>
              </w:rPr>
              <w:t xml:space="preserve">reviewstorage 50ms, movieinfo 30ms</w:t>
            </w:r>
          </w:p>
        </w:tc>
        <w:tc>
          <w:tcPr>
            <w:tcW w:type="dxa" w:w="1800"/>
          </w:tcPr>
          <w:p>
            <w:pPr>
              <w:jc w:val="center"/>
            </w:pPr>
            <w:r>
              <w:rPr>
                <w:rFonts w:ascii="Times New Roman" w:cs="Times New Roman" w:eastAsia="Times New Roman" w:hAnsi="Times New Roman"/>
                <w:b w:val="false"/>
                <w:bCs w:val="false"/>
                <w:sz w:val="20"/>
                <w:szCs w:val="20"/>
              </w:rPr>
              <w:t xml:space="preserve">13.84</w:t>
            </w:r>
          </w:p>
        </w:tc>
      </w:tr>
    </w:tbl>
    <w:p>
      <w:pPr>
        <w:spacing w:after="200" w:line="360"/>
        <w:jc w:val="both"/>
      </w:pPr>
      <w:r>
        <w:rPr>
          <w:rFonts w:ascii="Times New Roman" w:cs="Times New Roman" w:eastAsia="Times New Roman" w:hAnsi="Times New Roman"/>
          <w:sz w:val="24"/>
          <w:szCs w:val="24"/>
        </w:rPr>
        <w:t xml:space="preserve">Social network gives the cleanest result: RMSE rises monotonically from 14.01% at L0 to 30.33% at L1 to 33.61% at L2, a 19.60 percentage-point increase overall and the strongest single piece of evidence in this dataset that added synchronous I/O along a causal target's path degrades SlowPoke's predictions. Movie and boutique both show a net increase from L0 to L2 (1.63 and 0.96 percentage points respectively) but neither is monotonic: both peak at L1 before partially recovering at L2, a pattern this thesis does not have a confirmed explanation for and does not claim one. Hotel is the outlier in the other direction: its RMSE decreases from L0 to L2, from 20.65% down to 17.51%, contradicting the hypothesis that more injected I/O produces worse predictions.</w:t>
      </w:r>
    </w:p>
    <w:p>
      <w:pPr>
        <w:pStyle w:val="Heading2"/>
        <w:spacing w:after="150" w:before="300"/>
      </w:pPr>
      <w:r>
        <w:rPr>
          <w:rFonts w:ascii="Times New Roman" w:cs="Times New Roman" w:eastAsia="Times New Roman" w:hAnsi="Times New Roman"/>
          <w:b/>
          <w:bCs/>
          <w:sz w:val="28"/>
          <w:szCs w:val="28"/>
        </w:rPr>
        <w:t xml:space="preserve">3.5 Interpretation</w:t>
      </w:r>
    </w:p>
    <w:p>
      <w:pPr>
        <w:spacing w:after="200" w:line="360"/>
        <w:jc w:val="both"/>
      </w:pPr>
      <w:r>
        <w:rPr>
          <w:rFonts w:ascii="Times New Roman" w:cs="Times New Roman" w:eastAsia="Times New Roman" w:hAnsi="Times New Roman"/>
          <w:sz w:val="24"/>
          <w:szCs w:val="24"/>
        </w:rPr>
        <w:t xml:space="preserve">The honest reading of this table is that the aggregate evidence for an I/O-sensitivity effect holds, three of four applications show a net increase from L0 to L2, but the per-application story is noisier than a single clean result across all four would be, and hotel's result actively contradicts the hypothesis rather than merely failing to confirm it. Two things are worth stating plainly rather than glossing over.</w:t>
      </w:r>
    </w:p>
    <w:p>
      <w:pPr>
        <w:spacing w:after="200" w:line="360"/>
        <w:jc w:val="both"/>
      </w:pPr>
      <w:r>
        <w:rPr>
          <w:rFonts w:ascii="Times New Roman" w:cs="Times New Roman" w:eastAsia="Times New Roman" w:hAnsi="Times New Roman"/>
          <w:sz w:val="24"/>
          <w:szCs w:val="24"/>
        </w:rPr>
        <w:t xml:space="preserve">First, hotel's numbers have been unusually volatile across repeated measurements on this cluster specifically, independent of any I/O injection: its L0 baseline RMSE alone moved from 10.23% to 20.65% between two runs collected under otherwise identical conditions, before this chapter's injection experiment was even run. That degree of run-to-run movement, on a single-repetition measurement, is consistent with hotel being more sensitive than the other three applications to whatever varies from run to run on this particular cluster, whether that is background load, scheduling, or something else not yet identified, rather than evidence that the I/O-gap mechanism itself behaves differently for hotel. This thesis flags that as an open question rather than resolving it by discarding the inconvenient result.</w:t>
      </w:r>
    </w:p>
    <w:p>
      <w:pPr>
        <w:spacing w:after="200" w:line="360"/>
        <w:jc w:val="both"/>
      </w:pPr>
      <w:r>
        <w:rPr>
          <w:rFonts w:ascii="Times New Roman" w:cs="Times New Roman" w:eastAsia="Times New Roman" w:hAnsi="Times New Roman"/>
          <w:sz w:val="24"/>
          <w:szCs w:val="24"/>
        </w:rPr>
        <w:t xml:space="preserve">Second, this chapter's netem-based measurement is an indirect proxy for the phenomenon this thesis is actually about, residual I/O crossing a SIGSTOP pause window, not a direct measurement of it. Chapter 4 measures that directly, and the comparison between the two turns out to matter: hotel's direct residual-I/O measurement in Chapter 4 is unremarkable and consistent with social and movie, which is evidence that this chapter's netem-RMSE method, not hotel specifically, is the noisier of the two instruments. Where the two disagree, this thesis treats the direct measurement as the more trustworthy signal, and says so explicitly rather than presenting whichever number is more convenient.</w:t>
      </w:r>
    </w:p>
    <w:p>
      <w:pPr>
        <w:spacing w:after="200" w:line="360"/>
        <w:jc w:val="both"/>
      </w:pPr>
      <w:r>
        <w:rPr>
          <w:rFonts w:ascii="Times New Roman" w:cs="Times New Roman" w:eastAsia="Times New Roman" w:hAnsi="Times New Roman"/>
          <w:sz w:val="24"/>
          <w:szCs w:val="24"/>
        </w:rPr>
        <w:t xml:space="preserve">The result this chapter should be read as establishing is narrower and more defensible than "NetPoke is necessary": synchronous I/O on a causal target's request path is associated with reduced SlowPoke prediction accuracy, most clearly for social network, plausibly but less cleanly for movie and boutique, and not confirmed for hotel by this particular instrument. Chapter 4 exists because that qualification, "by this particular instrument", needed a better instrument to resolve.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2026-07-21T09:24:57.229Z</dcterms:created>
  <dcterms:modified xsi:type="dcterms:W3CDTF">2026-07-21T09:24:57.231Z</dcterms:modified>
</cp:coreProperties>
</file>

<file path=docProps/custom.xml><?xml version="1.0" encoding="utf-8"?>
<Properties xmlns="http://schemas.openxmlformats.org/officeDocument/2006/custom-properties" xmlns:vt="http://schemas.openxmlformats.org/officeDocument/2006/docPropsVTypes"/>
</file>