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Times New Roman" w:cs="Times New Roman" w:eastAsia="Times New Roman" w:hAnsi="Times New Roman"/>
          <w:b/>
          <w:bCs/>
          <w:sz w:val="32"/>
          <w:szCs w:val="32"/>
        </w:rPr>
        <w:t xml:space="preserve">Chapter 4: Mechanistic Validation via In-Pod I/O Sampling</w:t>
      </w:r>
    </w:p>
    <w:p>
      <w:pPr>
        <w:pStyle w:val="Heading2"/>
        <w:spacing w:after="150" w:before="300"/>
      </w:pPr>
      <w:r>
        <w:rPr>
          <w:rFonts w:ascii="Times New Roman" w:cs="Times New Roman" w:eastAsia="Times New Roman" w:hAnsi="Times New Roman"/>
          <w:b/>
          <w:bCs/>
          <w:sz w:val="28"/>
          <w:szCs w:val="28"/>
        </w:rPr>
        <w:t xml:space="preserve">4.1 Why a New Instrument Was Needed</w:t>
      </w:r>
    </w:p>
    <w:p>
      <w:pPr>
        <w:spacing w:after="200" w:line="360"/>
        <w:jc w:val="both"/>
      </w:pPr>
      <w:r>
        <w:rPr>
          <w:rFonts w:ascii="Times New Roman" w:cs="Times New Roman" w:eastAsia="Times New Roman" w:hAnsi="Times New Roman"/>
          <w:sz w:val="24"/>
          <w:szCs w:val="24"/>
        </w:rPr>
        <w:t xml:space="preserve">Chapter 3 measured an effect, prediction error rising when synchronous I/O is added to a causal target's request path, but by an indirect route: injecting static network delay and watching what happens to an aggregate accuracy metric ten optimisation points later. That method cannot say how much residual I/O actually crosses a SIGSTOP pause window, only that something about the system's behaviour changes when more I/O is present. Hotel's contradictory result in Chapter 3 is the clearest sign that this indirect route is not reliable enough on its own: either hotel genuinely does not suffer from the I/O-gap problem, or the netem-RMSE method failed to detect an effect that is really there. Answering that question needs a direct measurement, taken during real pause windows, of what actually flows over the network while a service is stopped.</w:t>
      </w:r>
    </w:p>
    <w:p>
      <w:pPr>
        <w:spacing w:after="200" w:line="360"/>
        <w:jc w:val="both"/>
      </w:pPr>
      <w:r>
        <w:rPr>
          <w:rFonts w:ascii="Times New Roman" w:cs="Times New Roman" w:eastAsia="Times New Roman" w:hAnsi="Times New Roman"/>
          <w:sz w:val="24"/>
          <w:szCs w:val="24"/>
        </w:rPr>
        <w:t xml:space="preserve">An earlier attempt at this direct measurement, built around periodically shelling out to kubectl exec to sample each pod's network counters, was found during this project to be unreliable: its sampling interval was two to three orders of magnitude coarser than the frequency of real pause windows, so most samples captured whatever mixture of paused and unpaused activity happened to be running at that moment, rather than activity attributable specifically to a pause. That defect is documented in this project's own methodology record (finding F2, `METHODOLOGY_CRITIQUE_AND_FIX_PLAN.md`) and the instrument built for this chapter replaces it entirely.</w:t>
      </w:r>
    </w:p>
    <w:p>
      <w:pPr>
        <w:pStyle w:val="Heading2"/>
        <w:spacing w:after="150" w:before="300"/>
      </w:pPr>
      <w:r>
        <w:rPr>
          <w:rFonts w:ascii="Times New Roman" w:cs="Times New Roman" w:eastAsia="Times New Roman" w:hAnsi="Times New Roman"/>
          <w:b/>
          <w:bCs/>
          <w:sz w:val="28"/>
          <w:szCs w:val="28"/>
        </w:rPr>
        <w:t xml:space="preserve">4.2 In-Pod Sampler Design</w:t>
      </w:r>
    </w:p>
    <w:p>
      <w:pPr>
        <w:spacing w:after="200" w:line="360"/>
        <w:jc w:val="both"/>
      </w:pPr>
      <w:r>
        <w:rPr>
          <w:rFonts w:ascii="Times New Roman" w:cs="Times New Roman" w:eastAsia="Times New Roman" w:hAnsi="Times New Roman"/>
          <w:sz w:val="24"/>
          <w:szCs w:val="24"/>
        </w:rPr>
        <w:t xml:space="preserve">The replacement instrument runs inside each service's own pod rather than polling it from outside. A lightweight shell script, residual_sampler_inpod.sh, polls three sources of ground truth at a configurable interval, ten milliseconds by default, tightened to five milliseconds for the media review service after an initial run showed too few samples overlapping real pause windows to trust: /proc/uptime for a monotonic timestamp comparable across the whole system, /proc/net/dev for interface-level receive and transmit byte counters, and /proc/[pid]/stat together with /proc/[pid]/io for per-process CPU and I/O counters. Each sample is written as one line of JSON, so a run produces a plain, appendable log of exactly what the kernel reported for that pod at that moment.</w:t>
      </w:r>
    </w:p>
    <w:p>
      <w:pPr>
        <w:spacing w:after="200" w:line="360"/>
        <w:jc w:val="both"/>
      </w:pPr>
      <w:r>
        <w:rPr>
          <w:rFonts w:ascii="Times New Roman" w:cs="Times New Roman" w:eastAsia="Times New Roman" w:hAnsi="Times New Roman"/>
          <w:sz w:val="24"/>
          <w:szCs w:val="24"/>
        </w:rPr>
        <w:t xml:space="preserve">Sampling alone is not enough; the samples have to be attributed correctly to pause windows or not. POKER, SlowPoke's own pause controller, was modified to print an unconditional timestamped marker to standard output every time it issues a SIGSTOP and every time it issues the matching SIGCONT (poker: pause_start uptime_s=... and poker: pause_end uptime_s=..., added directly to poker.c). This logging runs regardless of whether NetPoke is enabled, which is what makes it possible to measure a genuine SIGSTOP-only baseline and not only the NetPoke-on case. A separate correlation script, correlate_residual.py, pairs each pod's stream of samples against that pod's own stream of pause markers and buckets every measured byte delta as either falling inside a real pause window or outside one, using the marker log as ground truth for where the windows actually were rather than assuming a fixed schedule.</w:t>
      </w:r>
    </w:p>
    <w:p>
      <w:pPr>
        <w:spacing w:after="200" w:line="360"/>
        <w:jc w:val="both"/>
      </w:pPr>
      <w:r>
        <w:rPr>
          <w:rFonts w:ascii="Times New Roman" w:cs="Times New Roman" w:eastAsia="Times New Roman" w:hAnsi="Times New Roman"/>
          <w:sz w:val="24"/>
          <w:szCs w:val="24"/>
        </w:rPr>
        <w:t xml:space="preserve">A byte count during a pause window is not by itself informative unless it is compared against a baseline; a service that is naturally quiet everywhere would show low residual I/O regardless of whether the pause was doing anything. This chapter therefore reports residual I/O as a ratio: bytes received during pause windows divided by bytes received outside pause windows, aggregated across every non-target service in the application. A ratio near zero means the pause is effectively complete; a ratio close to the outside-window rate means the pause is doing nothing at the network level.</w:t>
      </w:r>
    </w:p>
    <w:p>
      <w:pPr>
        <w:pStyle w:val="Heading2"/>
        <w:spacing w:after="150" w:before="300"/>
      </w:pPr>
      <w:r>
        <w:rPr>
          <w:rFonts w:ascii="Times New Roman" w:cs="Times New Roman" w:eastAsia="Times New Roman" w:hAnsi="Times New Roman"/>
          <w:b/>
          <w:bCs/>
          <w:sz w:val="28"/>
          <w:szCs w:val="28"/>
        </w:rPr>
        <w:t xml:space="preserve">4.3 Results</w:t>
      </w:r>
    </w:p>
    <w:p>
      <w:pPr>
        <w:spacing w:after="200" w:line="360"/>
        <w:jc w:val="both"/>
      </w:pPr>
      <w:r>
        <w:rPr>
          <w:rFonts w:ascii="Times New Roman" w:cs="Times New Roman" w:eastAsia="Times New Roman" w:hAnsi="Times New Roman"/>
          <w:sz w:val="24"/>
          <w:szCs w:val="24"/>
        </w:rPr>
        <w:t xml:space="preserve">Table 4.1 reports this ratio for the two conditions that matter, POKER's pauses with NetPoke off (SIGSTOP alone) and the same pauses with NetPoke's egress hold on, across all four applications at L2, the heaviest injection level from Chapter 3, plus an additional check for boutique at L0 with no injection at all, to test whether NetPoke costs anything when there is no gap to close.</w:t>
      </w:r>
    </w:p>
    <w:p>
      <w:pPr>
        <w:spacing w:after="100" w:before="200"/>
        <w:jc w:val="left"/>
      </w:pPr>
      <w:r>
        <w:rPr>
          <w:rFonts w:ascii="Times New Roman" w:cs="Times New Roman" w:eastAsia="Times New Roman" w:hAnsi="Times New Roman"/>
          <w:b/>
          <w:bCs/>
          <w:sz w:val="24"/>
          <w:szCs w:val="24"/>
        </w:rPr>
        <w:t xml:space="preserve">Table 4.1: Residual network I/O during pause windows, SIGSTOP-only vs NetPoke-on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000"/>
        <w:gridCol w:w="2000"/>
        <w:gridCol w:w="1500"/>
      </w:tblGrid>
      <w:tr>
        <w:tc>
          <w:tcPr>
            <w:tcW w:type="dxa" w:w="1500"/>
            <w:shd w:fill="D9D9D9" w:val="clear"/>
          </w:tcPr>
          <w:p>
            <w:pPr>
              <w:jc w:val="center"/>
            </w:pPr>
            <w:r>
              <w:rPr>
                <w:rFonts w:ascii="Times New Roman" w:cs="Times New Roman" w:eastAsia="Times New Roman" w:hAnsi="Times New Roman"/>
                <w:b/>
                <w:bCs/>
                <w:sz w:val="20"/>
                <w:szCs w:val="20"/>
              </w:rPr>
              <w:t xml:space="preserve">App</w:t>
            </w:r>
          </w:p>
        </w:tc>
        <w:tc>
          <w:tcPr>
            <w:tcW w:type="dxa" w:w="1000"/>
            <w:shd w:fill="D9D9D9" w:val="clear"/>
          </w:tcPr>
          <w:p>
            <w:pPr>
              <w:jc w:val="center"/>
            </w:pPr>
            <w:r>
              <w:rPr>
                <w:rFonts w:ascii="Times New Roman" w:cs="Times New Roman" w:eastAsia="Times New Roman" w:hAnsi="Times New Roman"/>
                <w:b/>
                <w:bCs/>
                <w:sz w:val="20"/>
                <w:szCs w:val="20"/>
              </w:rPr>
              <w:t xml:space="preserve">Level</w:t>
            </w:r>
          </w:p>
        </w:tc>
        <w:tc>
          <w:tcPr>
            <w:tcW w:type="dxa" w:w="2000"/>
            <w:shd w:fill="D9D9D9" w:val="clear"/>
          </w:tcPr>
          <w:p>
            <w:pPr>
              <w:jc w:val="center"/>
            </w:pPr>
            <w:r>
              <w:rPr>
                <w:rFonts w:ascii="Times New Roman" w:cs="Times New Roman" w:eastAsia="Times New Roman" w:hAnsi="Times New Roman"/>
                <w:b/>
                <w:bCs/>
                <w:sz w:val="20"/>
                <w:szCs w:val="20"/>
              </w:rPr>
              <w:t xml:space="preserve">SIGSTOP-only residual</w:t>
            </w:r>
          </w:p>
        </w:tc>
        <w:tc>
          <w:tcPr>
            <w:tcW w:type="dxa" w:w="2000"/>
            <w:shd w:fill="D9D9D9" w:val="clear"/>
          </w:tcPr>
          <w:p>
            <w:pPr>
              <w:jc w:val="center"/>
            </w:pPr>
            <w:r>
              <w:rPr>
                <w:rFonts w:ascii="Times New Roman" w:cs="Times New Roman" w:eastAsia="Times New Roman" w:hAnsi="Times New Roman"/>
                <w:b/>
                <w:bCs/>
                <w:sz w:val="20"/>
                <w:szCs w:val="20"/>
              </w:rPr>
              <w:t xml:space="preserve">NetPoke-on residual</w:t>
            </w:r>
          </w:p>
        </w:tc>
        <w:tc>
          <w:tcPr>
            <w:tcW w:type="dxa" w:w="1500"/>
            <w:shd w:fill="D9D9D9" w:val="clear"/>
          </w:tcPr>
          <w:p>
            <w:pPr>
              <w:jc w:val="center"/>
            </w:pPr>
            <w:r>
              <w:rPr>
                <w:rFonts w:ascii="Times New Roman" w:cs="Times New Roman" w:eastAsia="Times New Roman" w:hAnsi="Times New Roman"/>
                <w:b/>
                <w:bCs/>
                <w:sz w:val="20"/>
                <w:szCs w:val="20"/>
              </w:rPr>
              <w:t xml:space="preserve">Change</w:t>
            </w:r>
          </w:p>
        </w:tc>
      </w:tr>
      <w:tr>
        <w:tc>
          <w:tcPr>
            <w:tcW w:type="dxa" w:w="1500"/>
          </w:tcPr>
          <w:p>
            <w:pPr>
              <w:jc w:val="center"/>
            </w:pPr>
            <w:r>
              <w:rPr>
                <w:rFonts w:ascii="Times New Roman" w:cs="Times New Roman" w:eastAsia="Times New Roman" w:hAnsi="Times New Roman"/>
                <w:b w:val="false"/>
                <w:bCs w:val="false"/>
                <w:sz w:val="20"/>
                <w:szCs w:val="20"/>
              </w:rPr>
              <w:t xml:space="preserve">Boutique</w:t>
            </w:r>
          </w:p>
        </w:tc>
        <w:tc>
          <w:tcPr>
            <w:tcW w:type="dxa" w:w="1000"/>
          </w:tcPr>
          <w:p>
            <w:pPr>
              <w:jc w:val="center"/>
            </w:pPr>
            <w:r>
              <w:rPr>
                <w:rFonts w:ascii="Times New Roman" w:cs="Times New Roman" w:eastAsia="Times New Roman" w:hAnsi="Times New Roman"/>
                <w:b w:val="false"/>
                <w:bCs w:val="false"/>
                <w:sz w:val="20"/>
                <w:szCs w:val="20"/>
              </w:rPr>
              <w:t xml:space="preserve">L0</w:t>
            </w:r>
          </w:p>
        </w:tc>
        <w:tc>
          <w:tcPr>
            <w:tcW w:type="dxa" w:w="2000"/>
          </w:tcPr>
          <w:p>
            <w:pPr>
              <w:jc w:val="center"/>
            </w:pPr>
            <w:r>
              <w:rPr>
                <w:rFonts w:ascii="Times New Roman" w:cs="Times New Roman" w:eastAsia="Times New Roman" w:hAnsi="Times New Roman"/>
                <w:b w:val="false"/>
                <w:bCs w:val="false"/>
                <w:sz w:val="20"/>
                <w:szCs w:val="20"/>
              </w:rPr>
              <w:t xml:space="preserve">8.43%</w:t>
            </w:r>
          </w:p>
        </w:tc>
        <w:tc>
          <w:tcPr>
            <w:tcW w:type="dxa" w:w="2000"/>
          </w:tcPr>
          <w:p>
            <w:pPr>
              <w:jc w:val="center"/>
            </w:pPr>
            <w:r>
              <w:rPr>
                <w:rFonts w:ascii="Times New Roman" w:cs="Times New Roman" w:eastAsia="Times New Roman" w:hAnsi="Times New Roman"/>
                <w:b w:val="false"/>
                <w:bCs w:val="false"/>
                <w:sz w:val="20"/>
                <w:szCs w:val="20"/>
              </w:rPr>
              <w:t xml:space="preserve">7.06%</w:t>
            </w:r>
          </w:p>
        </w:tc>
        <w:tc>
          <w:tcPr>
            <w:tcW w:type="dxa" w:w="1500"/>
          </w:tcPr>
          <w:p>
            <w:pPr>
              <w:jc w:val="center"/>
            </w:pPr>
            <w:r>
              <w:rPr>
                <w:rFonts w:ascii="Times New Roman" w:cs="Times New Roman" w:eastAsia="Times New Roman" w:hAnsi="Times New Roman"/>
                <w:b w:val="false"/>
                <w:bCs w:val="false"/>
                <w:sz w:val="20"/>
                <w:szCs w:val="20"/>
              </w:rPr>
              <w:t xml:space="preserve">flat</w:t>
            </w:r>
          </w:p>
        </w:tc>
      </w:tr>
      <w:tr>
        <w:tc>
          <w:tcPr>
            <w:tcW w:type="dxa" w:w="1500"/>
          </w:tcPr>
          <w:p>
            <w:pPr>
              <w:jc w:val="center"/>
            </w:pPr>
            <w:r>
              <w:rPr>
                <w:rFonts w:ascii="Times New Roman" w:cs="Times New Roman" w:eastAsia="Times New Roman" w:hAnsi="Times New Roman"/>
                <w:b w:val="false"/>
                <w:bCs w:val="false"/>
                <w:sz w:val="20"/>
                <w:szCs w:val="20"/>
              </w:rPr>
              <w:t xml:space="preserve">Boutique</w:t>
            </w:r>
          </w:p>
        </w:tc>
        <w:tc>
          <w:tcPr>
            <w:tcW w:type="dxa" w:w="1000"/>
          </w:tcPr>
          <w:p>
            <w:pPr>
              <w:jc w:val="center"/>
            </w:pPr>
            <w:r>
              <w:rPr>
                <w:rFonts w:ascii="Times New Roman" w:cs="Times New Roman" w:eastAsia="Times New Roman" w:hAnsi="Times New Roman"/>
                <w:b w:val="false"/>
                <w:bCs w:val="false"/>
                <w:sz w:val="20"/>
                <w:szCs w:val="20"/>
              </w:rPr>
              <w:t xml:space="preserve">L2</w:t>
            </w:r>
          </w:p>
        </w:tc>
        <w:tc>
          <w:tcPr>
            <w:tcW w:type="dxa" w:w="2000"/>
          </w:tcPr>
          <w:p>
            <w:pPr>
              <w:jc w:val="center"/>
            </w:pPr>
            <w:r>
              <w:rPr>
                <w:rFonts w:ascii="Times New Roman" w:cs="Times New Roman" w:eastAsia="Times New Roman" w:hAnsi="Times New Roman"/>
                <w:b w:val="false"/>
                <w:bCs w:val="false"/>
                <w:sz w:val="20"/>
                <w:szCs w:val="20"/>
              </w:rPr>
              <w:t xml:space="preserve">3.28%</w:t>
            </w:r>
          </w:p>
        </w:tc>
        <w:tc>
          <w:tcPr>
            <w:tcW w:type="dxa" w:w="2000"/>
          </w:tcPr>
          <w:p>
            <w:pPr>
              <w:jc w:val="center"/>
            </w:pPr>
            <w:r>
              <w:rPr>
                <w:rFonts w:ascii="Times New Roman" w:cs="Times New Roman" w:eastAsia="Times New Roman" w:hAnsi="Times New Roman"/>
                <w:b w:val="false"/>
                <w:bCs w:val="false"/>
                <w:sz w:val="20"/>
                <w:szCs w:val="20"/>
              </w:rPr>
              <w:t xml:space="preserve">4.28%</w:t>
            </w:r>
          </w:p>
        </w:tc>
        <w:tc>
          <w:tcPr>
            <w:tcW w:type="dxa" w:w="1500"/>
          </w:tcPr>
          <w:p>
            <w:pPr>
              <w:jc w:val="center"/>
            </w:pPr>
            <w:r>
              <w:rPr>
                <w:rFonts w:ascii="Times New Roman" w:cs="Times New Roman" w:eastAsia="Times New Roman" w:hAnsi="Times New Roman"/>
                <w:b w:val="false"/>
                <w:bCs w:val="false"/>
                <w:sz w:val="20"/>
                <w:szCs w:val="20"/>
              </w:rPr>
              <w:t xml:space="preserve">flat</w:t>
            </w:r>
          </w:p>
        </w:tc>
      </w:tr>
      <w:tr>
        <w:tc>
          <w:tcPr>
            <w:tcW w:type="dxa" w:w="1500"/>
          </w:tcPr>
          <w:p>
            <w:pPr>
              <w:jc w:val="center"/>
            </w:pPr>
            <w:r>
              <w:rPr>
                <w:rFonts w:ascii="Times New Roman" w:cs="Times New Roman" w:eastAsia="Times New Roman" w:hAnsi="Times New Roman"/>
                <w:b w:val="false"/>
                <w:bCs w:val="false"/>
                <w:sz w:val="20"/>
                <w:szCs w:val="20"/>
              </w:rPr>
              <w:t xml:space="preserve">Hotel</w:t>
            </w:r>
          </w:p>
        </w:tc>
        <w:tc>
          <w:tcPr>
            <w:tcW w:type="dxa" w:w="1000"/>
          </w:tcPr>
          <w:p>
            <w:pPr>
              <w:jc w:val="center"/>
            </w:pPr>
            <w:r>
              <w:rPr>
                <w:rFonts w:ascii="Times New Roman" w:cs="Times New Roman" w:eastAsia="Times New Roman" w:hAnsi="Times New Roman"/>
                <w:b w:val="false"/>
                <w:bCs w:val="false"/>
                <w:sz w:val="20"/>
                <w:szCs w:val="20"/>
              </w:rPr>
              <w:t xml:space="preserve">L2</w:t>
            </w:r>
          </w:p>
        </w:tc>
        <w:tc>
          <w:tcPr>
            <w:tcW w:type="dxa" w:w="2000"/>
          </w:tcPr>
          <w:p>
            <w:pPr>
              <w:jc w:val="center"/>
            </w:pPr>
            <w:r>
              <w:rPr>
                <w:rFonts w:ascii="Times New Roman" w:cs="Times New Roman" w:eastAsia="Times New Roman" w:hAnsi="Times New Roman"/>
                <w:b w:val="false"/>
                <w:bCs w:val="false"/>
                <w:sz w:val="20"/>
                <w:szCs w:val="20"/>
              </w:rPr>
              <w:t xml:space="preserve">9.52%</w:t>
            </w:r>
          </w:p>
        </w:tc>
        <w:tc>
          <w:tcPr>
            <w:tcW w:type="dxa" w:w="2000"/>
          </w:tcPr>
          <w:p>
            <w:pPr>
              <w:jc w:val="center"/>
            </w:pPr>
            <w:r>
              <w:rPr>
                <w:rFonts w:ascii="Times New Roman" w:cs="Times New Roman" w:eastAsia="Times New Roman" w:hAnsi="Times New Roman"/>
                <w:b w:val="false"/>
                <w:bCs w:val="false"/>
                <w:sz w:val="20"/>
                <w:szCs w:val="20"/>
              </w:rPr>
              <w:t xml:space="preserve">3.33%</w:t>
            </w:r>
          </w:p>
        </w:tc>
        <w:tc>
          <w:tcPr>
            <w:tcW w:type="dxa" w:w="1500"/>
          </w:tcPr>
          <w:p>
            <w:pPr>
              <w:jc w:val="center"/>
            </w:pPr>
            <w:r>
              <w:rPr>
                <w:rFonts w:ascii="Times New Roman" w:cs="Times New Roman" w:eastAsia="Times New Roman" w:hAnsi="Times New Roman"/>
                <w:b w:val="false"/>
                <w:bCs w:val="false"/>
                <w:sz w:val="20"/>
                <w:szCs w:val="20"/>
              </w:rPr>
              <w:t xml:space="preserve">~2.9x reduction</w:t>
            </w:r>
          </w:p>
        </w:tc>
      </w:tr>
      <w:tr>
        <w:tc>
          <w:tcPr>
            <w:tcW w:type="dxa" w:w="1500"/>
          </w:tcPr>
          <w:p>
            <w:pPr>
              <w:jc w:val="center"/>
            </w:pPr>
            <w:r>
              <w:rPr>
                <w:rFonts w:ascii="Times New Roman" w:cs="Times New Roman" w:eastAsia="Times New Roman" w:hAnsi="Times New Roman"/>
                <w:b w:val="false"/>
                <w:bCs w:val="false"/>
                <w:sz w:val="20"/>
                <w:szCs w:val="20"/>
              </w:rPr>
              <w:t xml:space="preserve">Social</w:t>
            </w:r>
          </w:p>
        </w:tc>
        <w:tc>
          <w:tcPr>
            <w:tcW w:type="dxa" w:w="1000"/>
          </w:tcPr>
          <w:p>
            <w:pPr>
              <w:jc w:val="center"/>
            </w:pPr>
            <w:r>
              <w:rPr>
                <w:rFonts w:ascii="Times New Roman" w:cs="Times New Roman" w:eastAsia="Times New Roman" w:hAnsi="Times New Roman"/>
                <w:b w:val="false"/>
                <w:bCs w:val="false"/>
                <w:sz w:val="20"/>
                <w:szCs w:val="20"/>
              </w:rPr>
              <w:t xml:space="preserve">L2</w:t>
            </w:r>
          </w:p>
        </w:tc>
        <w:tc>
          <w:tcPr>
            <w:tcW w:type="dxa" w:w="2000"/>
          </w:tcPr>
          <w:p>
            <w:pPr>
              <w:jc w:val="center"/>
            </w:pPr>
            <w:r>
              <w:rPr>
                <w:rFonts w:ascii="Times New Roman" w:cs="Times New Roman" w:eastAsia="Times New Roman" w:hAnsi="Times New Roman"/>
                <w:b w:val="false"/>
                <w:bCs w:val="false"/>
                <w:sz w:val="20"/>
                <w:szCs w:val="20"/>
              </w:rPr>
              <w:t xml:space="preserve">8.91%</w:t>
            </w:r>
          </w:p>
        </w:tc>
        <w:tc>
          <w:tcPr>
            <w:tcW w:type="dxa" w:w="2000"/>
          </w:tcPr>
          <w:p>
            <w:pPr>
              <w:jc w:val="center"/>
            </w:pPr>
            <w:r>
              <w:rPr>
                <w:rFonts w:ascii="Times New Roman" w:cs="Times New Roman" w:eastAsia="Times New Roman" w:hAnsi="Times New Roman"/>
                <w:b w:val="false"/>
                <w:bCs w:val="false"/>
                <w:sz w:val="20"/>
                <w:szCs w:val="20"/>
              </w:rPr>
              <w:t xml:space="preserve">4.00%</w:t>
            </w:r>
          </w:p>
        </w:tc>
        <w:tc>
          <w:tcPr>
            <w:tcW w:type="dxa" w:w="1500"/>
          </w:tcPr>
          <w:p>
            <w:pPr>
              <w:jc w:val="center"/>
            </w:pPr>
            <w:r>
              <w:rPr>
                <w:rFonts w:ascii="Times New Roman" w:cs="Times New Roman" w:eastAsia="Times New Roman" w:hAnsi="Times New Roman"/>
                <w:b w:val="false"/>
                <w:bCs w:val="false"/>
                <w:sz w:val="20"/>
                <w:szCs w:val="20"/>
              </w:rPr>
              <w:t xml:space="preserve">~2.2x reduction</w:t>
            </w:r>
          </w:p>
        </w:tc>
      </w:tr>
      <w:tr>
        <w:tc>
          <w:tcPr>
            <w:tcW w:type="dxa" w:w="1500"/>
          </w:tcPr>
          <w:p>
            <w:pPr>
              <w:jc w:val="center"/>
            </w:pPr>
            <w:r>
              <w:rPr>
                <w:rFonts w:ascii="Times New Roman" w:cs="Times New Roman" w:eastAsia="Times New Roman" w:hAnsi="Times New Roman"/>
                <w:b w:val="false"/>
                <w:bCs w:val="false"/>
                <w:sz w:val="20"/>
                <w:szCs w:val="20"/>
              </w:rPr>
              <w:t xml:space="preserve">Movie</w:t>
            </w:r>
          </w:p>
        </w:tc>
        <w:tc>
          <w:tcPr>
            <w:tcW w:type="dxa" w:w="1000"/>
          </w:tcPr>
          <w:p>
            <w:pPr>
              <w:jc w:val="center"/>
            </w:pPr>
            <w:r>
              <w:rPr>
                <w:rFonts w:ascii="Times New Roman" w:cs="Times New Roman" w:eastAsia="Times New Roman" w:hAnsi="Times New Roman"/>
                <w:b w:val="false"/>
                <w:bCs w:val="false"/>
                <w:sz w:val="20"/>
                <w:szCs w:val="20"/>
              </w:rPr>
              <w:t xml:space="preserve">L2</w:t>
            </w:r>
          </w:p>
        </w:tc>
        <w:tc>
          <w:tcPr>
            <w:tcW w:type="dxa" w:w="2000"/>
          </w:tcPr>
          <w:p>
            <w:pPr>
              <w:jc w:val="center"/>
            </w:pPr>
            <w:r>
              <w:rPr>
                <w:rFonts w:ascii="Times New Roman" w:cs="Times New Roman" w:eastAsia="Times New Roman" w:hAnsi="Times New Roman"/>
                <w:b w:val="false"/>
                <w:bCs w:val="false"/>
                <w:sz w:val="20"/>
                <w:szCs w:val="20"/>
              </w:rPr>
              <w:t xml:space="preserve">6.89%</w:t>
            </w:r>
          </w:p>
        </w:tc>
        <w:tc>
          <w:tcPr>
            <w:tcW w:type="dxa" w:w="2000"/>
          </w:tcPr>
          <w:p>
            <w:pPr>
              <w:jc w:val="center"/>
            </w:pPr>
            <w:r>
              <w:rPr>
                <w:rFonts w:ascii="Times New Roman" w:cs="Times New Roman" w:eastAsia="Times New Roman" w:hAnsi="Times New Roman"/>
                <w:b w:val="false"/>
                <w:bCs w:val="false"/>
                <w:sz w:val="20"/>
                <w:szCs w:val="20"/>
              </w:rPr>
              <w:t xml:space="preserve">1.59%</w:t>
            </w:r>
          </w:p>
        </w:tc>
        <w:tc>
          <w:tcPr>
            <w:tcW w:type="dxa" w:w="1500"/>
          </w:tcPr>
          <w:p>
            <w:pPr>
              <w:jc w:val="center"/>
            </w:pPr>
            <w:r>
              <w:rPr>
                <w:rFonts w:ascii="Times New Roman" w:cs="Times New Roman" w:eastAsia="Times New Roman" w:hAnsi="Times New Roman"/>
                <w:b w:val="false"/>
                <w:bCs w:val="false"/>
                <w:sz w:val="20"/>
                <w:szCs w:val="20"/>
              </w:rPr>
              <w:t xml:space="preserve">~4.3x reduction</w:t>
            </w:r>
          </w:p>
        </w:tc>
      </w:tr>
    </w:tbl>
    <w:p>
      <w:pPr>
        <w:spacing w:after="200" w:line="360"/>
        <w:jc w:val="both"/>
      </w:pPr>
      <w:r>
        <w:rPr>
          <w:rFonts w:ascii="Times New Roman" w:cs="Times New Roman" w:eastAsia="Times New Roman" w:hAnsi="Times New Roman"/>
          <w:sz w:val="24"/>
          <w:szCs w:val="24"/>
        </w:rPr>
        <w:t xml:space="preserve">Three of the four applications show a substantial reduction in residual I/O when NetPoke is switched on: hotel by roughly a factor of 2.9, social by roughly 2.2, movie by roughly 4.3. This is direct, measured evidence, not an inference from an aggregate accuracy number, that the mechanism does what it is meant to do for services with a real gap to close. Boutique is flat at both L0 and L2, its residual ratio unchanged whether NetPoke is on or off, which anticipates the source-level finding in Chapter 6: boutique's cart target has essentially nothing for the mechanism to intercept.</w:t>
      </w:r>
    </w:p>
    <w:p>
      <w:pPr>
        <w:pStyle w:val="Heading2"/>
        <w:spacing w:after="150" w:before="300"/>
      </w:pPr>
      <w:r>
        <w:rPr>
          <w:rFonts w:ascii="Times New Roman" w:cs="Times New Roman" w:eastAsia="Times New Roman" w:hAnsi="Times New Roman"/>
          <w:b/>
          <w:bCs/>
          <w:sz w:val="28"/>
          <w:szCs w:val="28"/>
        </w:rPr>
        <w:t xml:space="preserve">4.4 Resolving Hotel's Contradiction</w:t>
      </w:r>
    </w:p>
    <w:p>
      <w:pPr>
        <w:spacing w:after="200" w:line="360"/>
        <w:jc w:val="both"/>
      </w:pPr>
      <w:r>
        <w:rPr>
          <w:rFonts w:ascii="Times New Roman" w:cs="Times New Roman" w:eastAsia="Times New Roman" w:hAnsi="Times New Roman"/>
          <w:sz w:val="24"/>
          <w:szCs w:val="24"/>
        </w:rPr>
        <w:t xml:space="preserve">This chapter's central methodological result concerns hotel specifically. Chapter 3's netem-injection method found hotel's RMSE decreasing as more I/O was added, the opposite of what the I/O-gap hypothesis predicts. Hotel's direct residual-I/O measurement here shows nothing unusual: an 9.52% baseline ratio falling to 3.33% with NetPoke on, a reduction in the same range as social and movie, not an outlier in either direction. The two instruments disagree, and the direct one, built specifically to measure the phenomenon in question rather than a downstream proxy of it, is the more trustworthy of the two. The most defensible reading is that Chapter 3's netem-RMSE method is a noisy, confounded measurement of I/O sensitivity, sensitive to whatever else varies on this cluster from run to run, and that hotel's apparently contradictory Chapter 3 result reflects that noise rather than a genuine absence of the I/O-gap problem for hotel.</w:t>
      </w:r>
    </w:p>
    <w:p>
      <w:pPr>
        <w:pStyle w:val="Heading2"/>
        <w:spacing w:after="150" w:before="300"/>
      </w:pPr>
      <w:r>
        <w:rPr>
          <w:rFonts w:ascii="Times New Roman" w:cs="Times New Roman" w:eastAsia="Times New Roman" w:hAnsi="Times New Roman"/>
          <w:b/>
          <w:bCs/>
          <w:sz w:val="28"/>
          <w:szCs w:val="28"/>
        </w:rPr>
        <w:t xml:space="preserve">4.5 Data Quality and Coverage</w:t>
      </w:r>
    </w:p>
    <w:p>
      <w:pPr>
        <w:spacing w:after="200" w:line="360"/>
        <w:jc w:val="both"/>
      </w:pPr>
      <w:r>
        <w:rPr>
          <w:rFonts w:ascii="Times New Roman" w:cs="Times New Roman" w:eastAsia="Times New Roman" w:hAnsi="Times New Roman"/>
          <w:sz w:val="24"/>
          <w:szCs w:val="24"/>
        </w:rPr>
        <w:t xml:space="preserve">Coverage, the fraction of real pause windows with at least one overlapping sample, ranged from as low as 3% for boutique at L2 to as high as 23% for social at L2, reflecting the interaction between sampler interval and how frequently and how long individual pause windows lasted for a given application and load level. All figures in this chapter are single-run measurements rather than averages over repeated trials, a limitation this thesis returns to explicitly in Chapter 7. One further data-handling issue is worth recording here for reproducibility: an early attempt at the media review service's L2 measurement reused the same output directory as a prior, sparser sampling attempt without clearing it first, silently mixing two different sampling intervals' worth of data into one correlation pass. This was caught from file modification timestamps, separated, and the run repeated cleanly; the number reported in Table 4.1 is from the corrected run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2026-07-21T11:01:39.559Z</dcterms:created>
  <dcterms:modified xsi:type="dcterms:W3CDTF">2026-07-21T11:01:39.561Z</dcterms:modified>
</cp:coreProperties>
</file>

<file path=docProps/custom.xml><?xml version="1.0" encoding="utf-8"?>
<Properties xmlns="http://schemas.openxmlformats.org/officeDocument/2006/custom-properties" xmlns:vt="http://schemas.openxmlformats.org/officeDocument/2006/docPropsVTypes"/>
</file>