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6: Evaluation and Results</w:t>
      </w:r>
    </w:p>
    <w:p>
      <w:pPr>
        <w:pStyle w:val="Heading2"/>
        <w:spacing w:after="150" w:before="300"/>
      </w:pPr>
      <w:r>
        <w:rPr>
          <w:rFonts w:ascii="Times New Roman" w:cs="Times New Roman" w:eastAsia="Times New Roman" w:hAnsi="Times New Roman"/>
          <w:b/>
          <w:bCs/>
          <w:sz w:val="28"/>
          <w:szCs w:val="28"/>
        </w:rPr>
        <w:t xml:space="preserve">6.1 Evaluation Methodology</w:t>
      </w:r>
    </w:p>
    <w:p>
      <w:pPr>
        <w:spacing w:after="200" w:line="360"/>
        <w:jc w:val="both"/>
      </w:pPr>
      <w:r>
        <w:rPr>
          <w:rFonts w:ascii="Times New Roman" w:cs="Times New Roman" w:eastAsia="Times New Roman" w:hAnsi="Times New Roman"/>
          <w:sz w:val="24"/>
          <w:szCs w:val="24"/>
        </w:rPr>
        <w:t xml:space="preserve">Chapter 4 established that NetPoke's egress hold measurably reduces residual network I/O during pause windows for three of the four applications. That is evidence the mechanism works at the level it was built to operate on. It is not yet evidence that the mechanism achieves what this thesis actually set out to achieve, restored prediction accuracy, since a reduction in leaked bytes and a reduction in prediction error are two different quantities that happen to be hypothesised to move together. This chapter tests that hypothesis directly with two experiments. The first repeats Chapter 3's L2 accuracy benchmark, the same ten-point RMSE protocol, the same targets, the same injected netem delay, with NetPoke enabled, and compares the result against Chapter 3's SIGSTOP-only L2 numbers. The second repeats the same accuracy benchmark at L0, with no injected delay at all, to test whether NetPoke's cost shows up only under injected stress or at baseline as well. Both experiments are single runs per application per condition, the same limitation noted in Chapter 4 and discussed further in Chapter 7.</w:t>
      </w:r>
    </w:p>
    <w:p>
      <w:pPr>
        <w:pStyle w:val="Heading2"/>
        <w:spacing w:after="150" w:before="300"/>
      </w:pPr>
      <w:r>
        <w:rPr>
          <w:rFonts w:ascii="Times New Roman" w:cs="Times New Roman" w:eastAsia="Times New Roman" w:hAnsi="Times New Roman"/>
          <w:b/>
          <w:bCs/>
          <w:sz w:val="28"/>
          <w:szCs w:val="28"/>
        </w:rPr>
        <w:t xml:space="preserve">6.2 RMSE Restoration Under Injected I/O Stress (L2)</w:t>
      </w:r>
    </w:p>
    <w:p>
      <w:pPr>
        <w:spacing w:after="100" w:before="200"/>
        <w:jc w:val="left"/>
      </w:pPr>
      <w:r>
        <w:rPr>
          <w:rFonts w:ascii="Times New Roman" w:cs="Times New Roman" w:eastAsia="Times New Roman" w:hAnsi="Times New Roman"/>
          <w:b/>
          <w:bCs/>
          <w:sz w:val="24"/>
          <w:szCs w:val="24"/>
        </w:rPr>
        <w:t xml:space="preserve">Table 6.1: End-to-end prediction RMSE, SIGSTOP-only vs NetPoke-on, L2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1900"/>
        <w:gridCol w:w="1800"/>
      </w:tblGrid>
      <w:tr>
        <w:tc>
          <w:tcPr>
            <w:tcW w:type="dxa" w:w="1600"/>
            <w:shd w:fill="D9D9D9" w:val="clear"/>
          </w:tcPr>
          <w:p>
            <w:pPr>
              <w:jc w:val="center"/>
            </w:pPr>
            <w:r>
              <w:rPr>
                <w:rFonts w:ascii="Times New Roman" w:cs="Times New Roman" w:eastAsia="Times New Roman" w:hAnsi="Times New Roman"/>
                <w:b/>
                <w:bCs/>
                <w:sz w:val="20"/>
                <w:szCs w:val="20"/>
              </w:rPr>
              <w:t xml:space="preserve">App</w:t>
            </w:r>
          </w:p>
        </w:tc>
        <w:tc>
          <w:tcPr>
            <w:tcW w:type="dxa" w:w="1800"/>
            <w:shd w:fill="D9D9D9" w:val="clear"/>
          </w:tcPr>
          <w:p>
            <w:pPr>
              <w:jc w:val="center"/>
            </w:pPr>
            <w:r>
              <w:rPr>
                <w:rFonts w:ascii="Times New Roman" w:cs="Times New Roman" w:eastAsia="Times New Roman" w:hAnsi="Times New Roman"/>
                <w:b/>
                <w:bCs/>
                <w:sz w:val="20"/>
                <w:szCs w:val="20"/>
              </w:rPr>
              <w:t xml:space="preserve">L0 baseline RMSE</w:t>
            </w:r>
          </w:p>
        </w:tc>
        <w:tc>
          <w:tcPr>
            <w:tcW w:type="dxa" w:w="1900"/>
            <w:shd w:fill="D9D9D9" w:val="clear"/>
          </w:tcPr>
          <w:p>
            <w:pPr>
              <w:jc w:val="center"/>
            </w:pPr>
            <w:r>
              <w:rPr>
                <w:rFonts w:ascii="Times New Roman" w:cs="Times New Roman" w:eastAsia="Times New Roman" w:hAnsi="Times New Roman"/>
                <w:b/>
                <w:bCs/>
                <w:sz w:val="20"/>
                <w:szCs w:val="20"/>
              </w:rPr>
              <w:t xml:space="preserve">SIGSTOP-only L2 RMSE</w:t>
            </w:r>
          </w:p>
        </w:tc>
        <w:tc>
          <w:tcPr>
            <w:tcW w:type="dxa" w:w="1900"/>
            <w:shd w:fill="D9D9D9" w:val="clear"/>
          </w:tcPr>
          <w:p>
            <w:pPr>
              <w:jc w:val="center"/>
            </w:pPr>
            <w:r>
              <w:rPr>
                <w:rFonts w:ascii="Times New Roman" w:cs="Times New Roman" w:eastAsia="Times New Roman" w:hAnsi="Times New Roman"/>
                <w:b/>
                <w:bCs/>
                <w:sz w:val="20"/>
                <w:szCs w:val="20"/>
              </w:rPr>
              <w:t xml:space="preserve">NetPoke-on L2 RMSE</w:t>
            </w:r>
          </w:p>
        </w:tc>
        <w:tc>
          <w:tcPr>
            <w:tcW w:type="dxa" w:w="1800"/>
            <w:shd w:fill="D9D9D9" w:val="clear"/>
          </w:tcPr>
          <w:p>
            <w:pPr>
              <w:jc w:val="center"/>
            </w:pPr>
            <w:r>
              <w:rPr>
                <w:rFonts w:ascii="Times New Roman" w:cs="Times New Roman" w:eastAsia="Times New Roman" w:hAnsi="Times New Roman"/>
                <w:b/>
                <w:bCs/>
                <w:sz w:val="20"/>
                <w:szCs w:val="20"/>
              </w:rPr>
              <w:t xml:space="preserve">Change</w:t>
            </w:r>
          </w:p>
        </w:tc>
      </w:tr>
      <w:tr>
        <w:tc>
          <w:tcPr>
            <w:tcW w:type="dxa" w:w="1600"/>
          </w:tcPr>
          <w:p>
            <w:pPr>
              <w:jc w:val="center"/>
            </w:pPr>
            <w:r>
              <w:rPr>
                <w:rFonts w:ascii="Times New Roman" w:cs="Times New Roman" w:eastAsia="Times New Roman" w:hAnsi="Times New Roman"/>
                <w:b w:val="false"/>
                <w:bCs w:val="false"/>
                <w:sz w:val="20"/>
                <w:szCs w:val="20"/>
              </w:rPr>
              <w:t xml:space="preserve">Boutique</w:t>
            </w:r>
          </w:p>
        </w:tc>
        <w:tc>
          <w:tcPr>
            <w:tcW w:type="dxa" w:w="1800"/>
          </w:tcPr>
          <w:p>
            <w:pPr>
              <w:jc w:val="center"/>
            </w:pPr>
            <w:r>
              <w:rPr>
                <w:rFonts w:ascii="Times New Roman" w:cs="Times New Roman" w:eastAsia="Times New Roman" w:hAnsi="Times New Roman"/>
                <w:b w:val="false"/>
                <w:bCs w:val="false"/>
                <w:sz w:val="20"/>
                <w:szCs w:val="20"/>
              </w:rPr>
              <w:t xml:space="preserve">2.57%</w:t>
            </w:r>
          </w:p>
        </w:tc>
        <w:tc>
          <w:tcPr>
            <w:tcW w:type="dxa" w:w="1900"/>
          </w:tcPr>
          <w:p>
            <w:pPr>
              <w:jc w:val="center"/>
            </w:pPr>
            <w:r>
              <w:rPr>
                <w:rFonts w:ascii="Times New Roman" w:cs="Times New Roman" w:eastAsia="Times New Roman" w:hAnsi="Times New Roman"/>
                <w:b w:val="false"/>
                <w:bCs w:val="false"/>
                <w:sz w:val="20"/>
                <w:szCs w:val="20"/>
              </w:rPr>
              <w:t xml:space="preserve">3.53%</w:t>
            </w:r>
          </w:p>
        </w:tc>
        <w:tc>
          <w:tcPr>
            <w:tcW w:type="dxa" w:w="1900"/>
          </w:tcPr>
          <w:p>
            <w:pPr>
              <w:jc w:val="center"/>
            </w:pPr>
            <w:r>
              <w:rPr>
                <w:rFonts w:ascii="Times New Roman" w:cs="Times New Roman" w:eastAsia="Times New Roman" w:hAnsi="Times New Roman"/>
                <w:b w:val="false"/>
                <w:bCs w:val="false"/>
                <w:sz w:val="20"/>
                <w:szCs w:val="20"/>
              </w:rPr>
              <w:t xml:space="preserve">10.26%</w:t>
            </w:r>
          </w:p>
        </w:tc>
        <w:tc>
          <w:tcPr>
            <w:tcW w:type="dxa" w:w="1800"/>
          </w:tcPr>
          <w:p>
            <w:pPr>
              <w:jc w:val="center"/>
            </w:pPr>
            <w:r>
              <w:rPr>
                <w:rFonts w:ascii="Times New Roman" w:cs="Times New Roman" w:eastAsia="Times New Roman" w:hAnsi="Times New Roman"/>
                <w:b w:val="false"/>
                <w:bCs w:val="false"/>
                <w:sz w:val="20"/>
                <w:szCs w:val="20"/>
              </w:rPr>
              <w:t xml:space="preserve">+6.73pp, worse</w:t>
            </w:r>
          </w:p>
        </w:tc>
      </w:tr>
      <w:tr>
        <w:tc>
          <w:tcPr>
            <w:tcW w:type="dxa" w:w="1600"/>
          </w:tcPr>
          <w:p>
            <w:pPr>
              <w:jc w:val="center"/>
            </w:pPr>
            <w:r>
              <w:rPr>
                <w:rFonts w:ascii="Times New Roman" w:cs="Times New Roman" w:eastAsia="Times New Roman" w:hAnsi="Times New Roman"/>
                <w:b w:val="false"/>
                <w:bCs w:val="false"/>
                <w:sz w:val="20"/>
                <w:szCs w:val="20"/>
              </w:rPr>
              <w:t xml:space="preserve">Hotel</w:t>
            </w:r>
          </w:p>
        </w:tc>
        <w:tc>
          <w:tcPr>
            <w:tcW w:type="dxa" w:w="1800"/>
          </w:tcPr>
          <w:p>
            <w:pPr>
              <w:jc w:val="center"/>
            </w:pPr>
            <w:r>
              <w:rPr>
                <w:rFonts w:ascii="Times New Roman" w:cs="Times New Roman" w:eastAsia="Times New Roman" w:hAnsi="Times New Roman"/>
                <w:b w:val="false"/>
                <w:bCs w:val="false"/>
                <w:sz w:val="20"/>
                <w:szCs w:val="20"/>
              </w:rPr>
              <w:t xml:space="preserve">20.65%</w:t>
            </w:r>
          </w:p>
        </w:tc>
        <w:tc>
          <w:tcPr>
            <w:tcW w:type="dxa" w:w="1900"/>
          </w:tcPr>
          <w:p>
            <w:pPr>
              <w:jc w:val="center"/>
            </w:pPr>
            <w:r>
              <w:rPr>
                <w:rFonts w:ascii="Times New Roman" w:cs="Times New Roman" w:eastAsia="Times New Roman" w:hAnsi="Times New Roman"/>
                <w:b w:val="false"/>
                <w:bCs w:val="false"/>
                <w:sz w:val="20"/>
                <w:szCs w:val="20"/>
              </w:rPr>
              <w:t xml:space="preserve">17.51%</w:t>
            </w:r>
          </w:p>
        </w:tc>
        <w:tc>
          <w:tcPr>
            <w:tcW w:type="dxa" w:w="1900"/>
          </w:tcPr>
          <w:p>
            <w:pPr>
              <w:jc w:val="center"/>
            </w:pPr>
            <w:r>
              <w:rPr>
                <w:rFonts w:ascii="Times New Roman" w:cs="Times New Roman" w:eastAsia="Times New Roman" w:hAnsi="Times New Roman"/>
                <w:b w:val="false"/>
                <w:bCs w:val="false"/>
                <w:sz w:val="20"/>
                <w:szCs w:val="20"/>
              </w:rPr>
              <w:t xml:space="preserve">10.25%</w:t>
            </w:r>
          </w:p>
        </w:tc>
        <w:tc>
          <w:tcPr>
            <w:tcW w:type="dxa" w:w="1800"/>
          </w:tcPr>
          <w:p>
            <w:pPr>
              <w:jc w:val="center"/>
            </w:pPr>
            <w:r>
              <w:rPr>
                <w:rFonts w:ascii="Times New Roman" w:cs="Times New Roman" w:eastAsia="Times New Roman" w:hAnsi="Times New Roman"/>
                <w:b w:val="false"/>
                <w:bCs w:val="false"/>
                <w:sz w:val="20"/>
                <w:szCs w:val="20"/>
              </w:rPr>
              <w:t xml:space="preserve">-7.26pp, better</w:t>
            </w:r>
          </w:p>
        </w:tc>
      </w:tr>
      <w:tr>
        <w:tc>
          <w:tcPr>
            <w:tcW w:type="dxa" w:w="1600"/>
          </w:tcPr>
          <w:p>
            <w:pPr>
              <w:jc w:val="center"/>
            </w:pPr>
            <w:r>
              <w:rPr>
                <w:rFonts w:ascii="Times New Roman" w:cs="Times New Roman" w:eastAsia="Times New Roman" w:hAnsi="Times New Roman"/>
                <w:b w:val="false"/>
                <w:bCs w:val="false"/>
                <w:sz w:val="20"/>
                <w:szCs w:val="20"/>
              </w:rPr>
              <w:t xml:space="preserve">Social</w:t>
            </w:r>
          </w:p>
        </w:tc>
        <w:tc>
          <w:tcPr>
            <w:tcW w:type="dxa" w:w="1800"/>
          </w:tcPr>
          <w:p>
            <w:pPr>
              <w:jc w:val="center"/>
            </w:pPr>
            <w:r>
              <w:rPr>
                <w:rFonts w:ascii="Times New Roman" w:cs="Times New Roman" w:eastAsia="Times New Roman" w:hAnsi="Times New Roman"/>
                <w:b w:val="false"/>
                <w:bCs w:val="false"/>
                <w:sz w:val="20"/>
                <w:szCs w:val="20"/>
              </w:rPr>
              <w:t xml:space="preserve">14.01%</w:t>
            </w:r>
          </w:p>
        </w:tc>
        <w:tc>
          <w:tcPr>
            <w:tcW w:type="dxa" w:w="1900"/>
          </w:tcPr>
          <w:p>
            <w:pPr>
              <w:jc w:val="center"/>
            </w:pPr>
            <w:r>
              <w:rPr>
                <w:rFonts w:ascii="Times New Roman" w:cs="Times New Roman" w:eastAsia="Times New Roman" w:hAnsi="Times New Roman"/>
                <w:b w:val="false"/>
                <w:bCs w:val="false"/>
                <w:sz w:val="20"/>
                <w:szCs w:val="20"/>
              </w:rPr>
              <w:t xml:space="preserve">33.61%</w:t>
            </w:r>
          </w:p>
        </w:tc>
        <w:tc>
          <w:tcPr>
            <w:tcW w:type="dxa" w:w="1900"/>
          </w:tcPr>
          <w:p>
            <w:pPr>
              <w:jc w:val="center"/>
            </w:pPr>
            <w:r>
              <w:rPr>
                <w:rFonts w:ascii="Times New Roman" w:cs="Times New Roman" w:eastAsia="Times New Roman" w:hAnsi="Times New Roman"/>
                <w:b w:val="false"/>
                <w:bCs w:val="false"/>
                <w:sz w:val="20"/>
                <w:szCs w:val="20"/>
              </w:rPr>
              <w:t xml:space="preserve">18.69%</w:t>
            </w:r>
          </w:p>
        </w:tc>
        <w:tc>
          <w:tcPr>
            <w:tcW w:type="dxa" w:w="1800"/>
          </w:tcPr>
          <w:p>
            <w:pPr>
              <w:jc w:val="center"/>
            </w:pPr>
            <w:r>
              <w:rPr>
                <w:rFonts w:ascii="Times New Roman" w:cs="Times New Roman" w:eastAsia="Times New Roman" w:hAnsi="Times New Roman"/>
                <w:b w:val="false"/>
                <w:bCs w:val="false"/>
                <w:sz w:val="20"/>
                <w:szCs w:val="20"/>
              </w:rPr>
              <w:t xml:space="preserve">-14.92pp, better</w:t>
            </w:r>
          </w:p>
        </w:tc>
      </w:tr>
      <w:tr>
        <w:tc>
          <w:tcPr>
            <w:tcW w:type="dxa" w:w="1600"/>
          </w:tcPr>
          <w:p>
            <w:pPr>
              <w:jc w:val="center"/>
            </w:pPr>
            <w:r>
              <w:rPr>
                <w:rFonts w:ascii="Times New Roman" w:cs="Times New Roman" w:eastAsia="Times New Roman" w:hAnsi="Times New Roman"/>
                <w:b w:val="false"/>
                <w:bCs w:val="false"/>
                <w:sz w:val="20"/>
                <w:szCs w:val="20"/>
              </w:rPr>
              <w:t xml:space="preserve">Movie</w:t>
            </w:r>
          </w:p>
        </w:tc>
        <w:tc>
          <w:tcPr>
            <w:tcW w:type="dxa" w:w="1800"/>
          </w:tcPr>
          <w:p>
            <w:pPr>
              <w:jc w:val="center"/>
            </w:pPr>
            <w:r>
              <w:rPr>
                <w:rFonts w:ascii="Times New Roman" w:cs="Times New Roman" w:eastAsia="Times New Roman" w:hAnsi="Times New Roman"/>
                <w:b w:val="false"/>
                <w:bCs w:val="false"/>
                <w:sz w:val="20"/>
                <w:szCs w:val="20"/>
              </w:rPr>
              <w:t xml:space="preserve">12.21%</w:t>
            </w:r>
          </w:p>
        </w:tc>
        <w:tc>
          <w:tcPr>
            <w:tcW w:type="dxa" w:w="1900"/>
          </w:tcPr>
          <w:p>
            <w:pPr>
              <w:jc w:val="center"/>
            </w:pPr>
            <w:r>
              <w:rPr>
                <w:rFonts w:ascii="Times New Roman" w:cs="Times New Roman" w:eastAsia="Times New Roman" w:hAnsi="Times New Roman"/>
                <w:b w:val="false"/>
                <w:bCs w:val="false"/>
                <w:sz w:val="20"/>
                <w:szCs w:val="20"/>
              </w:rPr>
              <w:t xml:space="preserve">13.84%</w:t>
            </w:r>
          </w:p>
        </w:tc>
        <w:tc>
          <w:tcPr>
            <w:tcW w:type="dxa" w:w="1900"/>
          </w:tcPr>
          <w:p>
            <w:pPr>
              <w:jc w:val="center"/>
            </w:pPr>
            <w:r>
              <w:rPr>
                <w:rFonts w:ascii="Times New Roman" w:cs="Times New Roman" w:eastAsia="Times New Roman" w:hAnsi="Times New Roman"/>
                <w:b w:val="false"/>
                <w:bCs w:val="false"/>
                <w:sz w:val="20"/>
                <w:szCs w:val="20"/>
              </w:rPr>
              <w:t xml:space="preserve">10.23%</w:t>
            </w:r>
          </w:p>
        </w:tc>
        <w:tc>
          <w:tcPr>
            <w:tcW w:type="dxa" w:w="1800"/>
          </w:tcPr>
          <w:p>
            <w:pPr>
              <w:jc w:val="center"/>
            </w:pPr>
            <w:r>
              <w:rPr>
                <w:rFonts w:ascii="Times New Roman" w:cs="Times New Roman" w:eastAsia="Times New Roman" w:hAnsi="Times New Roman"/>
                <w:b w:val="false"/>
                <w:bCs w:val="false"/>
                <w:sz w:val="20"/>
                <w:szCs w:val="20"/>
              </w:rPr>
              <w:t xml:space="preserve">-3.61pp, better</w:t>
            </w:r>
          </w:p>
        </w:tc>
      </w:tr>
    </w:tbl>
    <w:p>
      <w:pPr>
        <w:spacing w:after="200" w:line="360"/>
        <w:jc w:val="both"/>
      </w:pPr>
      <w:r>
        <w:rPr>
          <w:rFonts w:ascii="Times New Roman" w:cs="Times New Roman" w:eastAsia="Times New Roman" w:hAnsi="Times New Roman"/>
          <w:sz w:val="24"/>
          <w:szCs w:val="24"/>
        </w:rPr>
        <w:t xml:space="preserve">Social network is the clearest result in this thesis. Chapter 3 measured its L2 RMSE at 33.61%, up from a 14.01% baseline with no injection, the strongest I/O-gap signal recorded anywhere in this project. With NetPoke enabled, that L2 RMSE falls to 18.69%, recovering 76% of the gap between the injected-stress result and the no-injection baseline, calculated as (33.61 minus 18.69) divided by (33.61 minus 14.01). This is the single strongest piece of evidence that NetPoke's mechanism, not merely its residual-I/O measurement, closes the gap this thesis set out to close.</w:t>
      </w:r>
    </w:p>
    <w:p>
      <w:pPr>
        <w:spacing w:after="200" w:line="360"/>
        <w:jc w:val="both"/>
      </w:pPr>
      <w:r>
        <w:rPr>
          <w:rFonts w:ascii="Times New Roman" w:cs="Times New Roman" w:eastAsia="Times New Roman" w:hAnsi="Times New Roman"/>
          <w:sz w:val="24"/>
          <w:szCs w:val="24"/>
        </w:rPr>
        <w:t xml:space="preserve">Hotel and movie also improve, both ending at or below their own L0 baselines: hotel from 17.51% to 10.25%, movie from 13.84% to 10.23%. Hotel's result should be read alongside the volatility already documented in Chapter 3, its own baseline RMSE moved by roughly ten percentage points between two nominally identical runs before any injection was involved, so a similarly sized movement here is consistent with either a genuine NetPoke effect or with this cluster's known run-to-run noise, and this thesis does not claim to distinguish the two from a single run.</w:t>
      </w:r>
    </w:p>
    <w:p>
      <w:pPr>
        <w:spacing w:after="200" w:line="360"/>
        <w:jc w:val="both"/>
      </w:pPr>
      <w:r>
        <w:rPr>
          <w:rFonts w:ascii="Times New Roman" w:cs="Times New Roman" w:eastAsia="Times New Roman" w:hAnsi="Times New Roman"/>
          <w:sz w:val="24"/>
          <w:szCs w:val="24"/>
        </w:rPr>
        <w:t xml:space="preserve">Boutique gets worse, not merely unaffected: 3.53% without NetPoke, 10.26% with it. This is the one result in this chapter that does not read as a success, and Section 6.4 explains why, concretely rather than as an unexplained anomaly.</w:t>
      </w:r>
    </w:p>
    <w:p>
      <w:pPr>
        <w:pStyle w:val="Heading2"/>
        <w:spacing w:after="150" w:before="300"/>
      </w:pPr>
      <w:r>
        <w:rPr>
          <w:rFonts w:ascii="Times New Roman" w:cs="Times New Roman" w:eastAsia="Times New Roman" w:hAnsi="Times New Roman"/>
          <w:b/>
          <w:bCs/>
          <w:sz w:val="28"/>
          <w:szCs w:val="28"/>
        </w:rPr>
        <w:t xml:space="preserve">6.3 Overhead With No Injection (L0)</w:t>
      </w:r>
    </w:p>
    <w:p>
      <w:pPr>
        <w:spacing w:after="100" w:before="200"/>
        <w:jc w:val="left"/>
      </w:pPr>
      <w:r>
        <w:rPr>
          <w:rFonts w:ascii="Times New Roman" w:cs="Times New Roman" w:eastAsia="Times New Roman" w:hAnsi="Times New Roman"/>
          <w:b/>
          <w:bCs/>
          <w:sz w:val="24"/>
          <w:szCs w:val="24"/>
        </w:rPr>
        <w:t xml:space="preserve">Table 6.2: End-to-end prediction RMSE, SIGSTOP-only vs NetPoke-on, L0, no injection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00"/>
      </w:tblGrid>
      <w:tr>
        <w:tc>
          <w:tcPr>
            <w:tcW w:type="dxa" w:w="2000"/>
            <w:shd w:fill="D9D9D9" w:val="clear"/>
          </w:tcPr>
          <w:p>
            <w:pPr>
              <w:jc w:val="center"/>
            </w:pPr>
            <w:r>
              <w:rPr>
                <w:rFonts w:ascii="Times New Roman" w:cs="Times New Roman" w:eastAsia="Times New Roman" w:hAnsi="Times New Roman"/>
                <w:b/>
                <w:bCs/>
                <w:sz w:val="20"/>
                <w:szCs w:val="20"/>
              </w:rPr>
              <w:t xml:space="preserve">App</w:t>
            </w:r>
          </w:p>
        </w:tc>
        <w:tc>
          <w:tcPr>
            <w:tcW w:type="dxa" w:w="2300"/>
            <w:shd w:fill="D9D9D9" w:val="clear"/>
          </w:tcPr>
          <w:p>
            <w:pPr>
              <w:jc w:val="center"/>
            </w:pPr>
            <w:r>
              <w:rPr>
                <w:rFonts w:ascii="Times New Roman" w:cs="Times New Roman" w:eastAsia="Times New Roman" w:hAnsi="Times New Roman"/>
                <w:b/>
                <w:bCs/>
                <w:sz w:val="20"/>
                <w:szCs w:val="20"/>
              </w:rPr>
              <w:t xml:space="preserve">SIGSTOP-only L0</w:t>
            </w:r>
          </w:p>
        </w:tc>
        <w:tc>
          <w:tcPr>
            <w:tcW w:type="dxa" w:w="2300"/>
            <w:shd w:fill="D9D9D9" w:val="clear"/>
          </w:tcPr>
          <w:p>
            <w:pPr>
              <w:jc w:val="center"/>
            </w:pPr>
            <w:r>
              <w:rPr>
                <w:rFonts w:ascii="Times New Roman" w:cs="Times New Roman" w:eastAsia="Times New Roman" w:hAnsi="Times New Roman"/>
                <w:b/>
                <w:bCs/>
                <w:sz w:val="20"/>
                <w:szCs w:val="20"/>
              </w:rPr>
              <w:t xml:space="preserve">NetPoke-on L0</w:t>
            </w:r>
          </w:p>
        </w:tc>
        <w:tc>
          <w:tcPr>
            <w:tcW w:type="dxa" w:w="2400"/>
            <w:shd w:fill="D9D9D9" w:val="clear"/>
          </w:tcPr>
          <w:p>
            <w:pPr>
              <w:jc w:val="center"/>
            </w:pPr>
            <w:r>
              <w:rPr>
                <w:rFonts w:ascii="Times New Roman" w:cs="Times New Roman" w:eastAsia="Times New Roman" w:hAnsi="Times New Roman"/>
                <w:b/>
                <w:bCs/>
                <w:sz w:val="20"/>
                <w:szCs w:val="20"/>
              </w:rPr>
              <w:t xml:space="preserve">Change</w:t>
            </w:r>
          </w:p>
        </w:tc>
      </w:tr>
      <w:tr>
        <w:tc>
          <w:tcPr>
            <w:tcW w:type="dxa" w:w="2000"/>
          </w:tcPr>
          <w:p>
            <w:pPr>
              <w:jc w:val="center"/>
            </w:pPr>
            <w:r>
              <w:rPr>
                <w:rFonts w:ascii="Times New Roman" w:cs="Times New Roman" w:eastAsia="Times New Roman" w:hAnsi="Times New Roman"/>
                <w:b w:val="false"/>
                <w:bCs w:val="false"/>
                <w:sz w:val="20"/>
                <w:szCs w:val="20"/>
              </w:rPr>
              <w:t xml:space="preserve">Boutique</w:t>
            </w:r>
          </w:p>
        </w:tc>
        <w:tc>
          <w:tcPr>
            <w:tcW w:type="dxa" w:w="2300"/>
          </w:tcPr>
          <w:p>
            <w:pPr>
              <w:jc w:val="center"/>
            </w:pPr>
            <w:r>
              <w:rPr>
                <w:rFonts w:ascii="Times New Roman" w:cs="Times New Roman" w:eastAsia="Times New Roman" w:hAnsi="Times New Roman"/>
                <w:b w:val="false"/>
                <w:bCs w:val="false"/>
                <w:sz w:val="20"/>
                <w:szCs w:val="20"/>
              </w:rPr>
              <w:t xml:space="preserve">2.57%</w:t>
            </w:r>
          </w:p>
        </w:tc>
        <w:tc>
          <w:tcPr>
            <w:tcW w:type="dxa" w:w="2300"/>
          </w:tcPr>
          <w:p>
            <w:pPr>
              <w:jc w:val="center"/>
            </w:pPr>
            <w:r>
              <w:rPr>
                <w:rFonts w:ascii="Times New Roman" w:cs="Times New Roman" w:eastAsia="Times New Roman" w:hAnsi="Times New Roman"/>
                <w:b w:val="false"/>
                <w:bCs w:val="false"/>
                <w:sz w:val="20"/>
                <w:szCs w:val="20"/>
              </w:rPr>
              <w:t xml:space="preserve">9.13%</w:t>
            </w:r>
          </w:p>
        </w:tc>
        <w:tc>
          <w:tcPr>
            <w:tcW w:type="dxa" w:w="2400"/>
          </w:tcPr>
          <w:p>
            <w:pPr>
              <w:jc w:val="center"/>
            </w:pPr>
            <w:r>
              <w:rPr>
                <w:rFonts w:ascii="Times New Roman" w:cs="Times New Roman" w:eastAsia="Times New Roman" w:hAnsi="Times New Roman"/>
                <w:b w:val="false"/>
                <w:bCs w:val="false"/>
                <w:sz w:val="20"/>
                <w:szCs w:val="20"/>
              </w:rPr>
              <w:t xml:space="preserve">+6.56pp, worse</w:t>
            </w:r>
          </w:p>
        </w:tc>
      </w:tr>
      <w:tr>
        <w:tc>
          <w:tcPr>
            <w:tcW w:type="dxa" w:w="2000"/>
          </w:tcPr>
          <w:p>
            <w:pPr>
              <w:jc w:val="center"/>
            </w:pPr>
            <w:r>
              <w:rPr>
                <w:rFonts w:ascii="Times New Roman" w:cs="Times New Roman" w:eastAsia="Times New Roman" w:hAnsi="Times New Roman"/>
                <w:b w:val="false"/>
                <w:bCs w:val="false"/>
                <w:sz w:val="20"/>
                <w:szCs w:val="20"/>
              </w:rPr>
              <w:t xml:space="preserve">Hotel</w:t>
            </w:r>
          </w:p>
        </w:tc>
        <w:tc>
          <w:tcPr>
            <w:tcW w:type="dxa" w:w="2300"/>
          </w:tcPr>
          <w:p>
            <w:pPr>
              <w:jc w:val="center"/>
            </w:pPr>
            <w:r>
              <w:rPr>
                <w:rFonts w:ascii="Times New Roman" w:cs="Times New Roman" w:eastAsia="Times New Roman" w:hAnsi="Times New Roman"/>
                <w:b w:val="false"/>
                <w:bCs w:val="false"/>
                <w:sz w:val="20"/>
                <w:szCs w:val="20"/>
              </w:rPr>
              <w:t xml:space="preserve">20.65%</w:t>
            </w:r>
          </w:p>
        </w:tc>
        <w:tc>
          <w:tcPr>
            <w:tcW w:type="dxa" w:w="2300"/>
          </w:tcPr>
          <w:p>
            <w:pPr>
              <w:jc w:val="center"/>
            </w:pPr>
            <w:r>
              <w:rPr>
                <w:rFonts w:ascii="Times New Roman" w:cs="Times New Roman" w:eastAsia="Times New Roman" w:hAnsi="Times New Roman"/>
                <w:b w:val="false"/>
                <w:bCs w:val="false"/>
                <w:sz w:val="20"/>
                <w:szCs w:val="20"/>
              </w:rPr>
              <w:t xml:space="preserve">14.13%</w:t>
            </w:r>
          </w:p>
        </w:tc>
        <w:tc>
          <w:tcPr>
            <w:tcW w:type="dxa" w:w="2400"/>
          </w:tcPr>
          <w:p>
            <w:pPr>
              <w:jc w:val="center"/>
            </w:pPr>
            <w:r>
              <w:rPr>
                <w:rFonts w:ascii="Times New Roman" w:cs="Times New Roman" w:eastAsia="Times New Roman" w:hAnsi="Times New Roman"/>
                <w:b w:val="false"/>
                <w:bCs w:val="false"/>
                <w:sz w:val="20"/>
                <w:szCs w:val="20"/>
              </w:rPr>
              <w:t xml:space="preserve">-6.52pp, better</w:t>
            </w:r>
          </w:p>
        </w:tc>
      </w:tr>
      <w:tr>
        <w:tc>
          <w:tcPr>
            <w:tcW w:type="dxa" w:w="2000"/>
          </w:tcPr>
          <w:p>
            <w:pPr>
              <w:jc w:val="center"/>
            </w:pPr>
            <w:r>
              <w:rPr>
                <w:rFonts w:ascii="Times New Roman" w:cs="Times New Roman" w:eastAsia="Times New Roman" w:hAnsi="Times New Roman"/>
                <w:b w:val="false"/>
                <w:bCs w:val="false"/>
                <w:sz w:val="20"/>
                <w:szCs w:val="20"/>
              </w:rPr>
              <w:t xml:space="preserve">Social</w:t>
            </w:r>
          </w:p>
        </w:tc>
        <w:tc>
          <w:tcPr>
            <w:tcW w:type="dxa" w:w="2300"/>
          </w:tcPr>
          <w:p>
            <w:pPr>
              <w:jc w:val="center"/>
            </w:pPr>
            <w:r>
              <w:rPr>
                <w:rFonts w:ascii="Times New Roman" w:cs="Times New Roman" w:eastAsia="Times New Roman" w:hAnsi="Times New Roman"/>
                <w:b w:val="false"/>
                <w:bCs w:val="false"/>
                <w:sz w:val="20"/>
                <w:szCs w:val="20"/>
              </w:rPr>
              <w:t xml:space="preserve">14.01%</w:t>
            </w:r>
          </w:p>
        </w:tc>
        <w:tc>
          <w:tcPr>
            <w:tcW w:type="dxa" w:w="2300"/>
          </w:tcPr>
          <w:p>
            <w:pPr>
              <w:jc w:val="center"/>
            </w:pPr>
            <w:r>
              <w:rPr>
                <w:rFonts w:ascii="Times New Roman" w:cs="Times New Roman" w:eastAsia="Times New Roman" w:hAnsi="Times New Roman"/>
                <w:b w:val="false"/>
                <w:bCs w:val="false"/>
                <w:sz w:val="20"/>
                <w:szCs w:val="20"/>
              </w:rPr>
              <w:t xml:space="preserve">17.35%</w:t>
            </w:r>
          </w:p>
        </w:tc>
        <w:tc>
          <w:tcPr>
            <w:tcW w:type="dxa" w:w="2400"/>
          </w:tcPr>
          <w:p>
            <w:pPr>
              <w:jc w:val="center"/>
            </w:pPr>
            <w:r>
              <w:rPr>
                <w:rFonts w:ascii="Times New Roman" w:cs="Times New Roman" w:eastAsia="Times New Roman" w:hAnsi="Times New Roman"/>
                <w:b w:val="false"/>
                <w:bCs w:val="false"/>
                <w:sz w:val="20"/>
                <w:szCs w:val="20"/>
              </w:rPr>
              <w:t xml:space="preserve">+3.34pp, mild</w:t>
            </w:r>
          </w:p>
        </w:tc>
      </w:tr>
      <w:tr>
        <w:tc>
          <w:tcPr>
            <w:tcW w:type="dxa" w:w="2000"/>
          </w:tcPr>
          <w:p>
            <w:pPr>
              <w:jc w:val="center"/>
            </w:pPr>
            <w:r>
              <w:rPr>
                <w:rFonts w:ascii="Times New Roman" w:cs="Times New Roman" w:eastAsia="Times New Roman" w:hAnsi="Times New Roman"/>
                <w:b w:val="false"/>
                <w:bCs w:val="false"/>
                <w:sz w:val="20"/>
                <w:szCs w:val="20"/>
              </w:rPr>
              <w:t xml:space="preserve">Movie</w:t>
            </w:r>
          </w:p>
        </w:tc>
        <w:tc>
          <w:tcPr>
            <w:tcW w:type="dxa" w:w="2300"/>
          </w:tcPr>
          <w:p>
            <w:pPr>
              <w:jc w:val="center"/>
            </w:pPr>
            <w:r>
              <w:rPr>
                <w:rFonts w:ascii="Times New Roman" w:cs="Times New Roman" w:eastAsia="Times New Roman" w:hAnsi="Times New Roman"/>
                <w:b w:val="false"/>
                <w:bCs w:val="false"/>
                <w:sz w:val="20"/>
                <w:szCs w:val="20"/>
              </w:rPr>
              <w:t xml:space="preserve">12.21%</w:t>
            </w:r>
          </w:p>
        </w:tc>
        <w:tc>
          <w:tcPr>
            <w:tcW w:type="dxa" w:w="2300"/>
          </w:tcPr>
          <w:p>
            <w:pPr>
              <w:jc w:val="center"/>
            </w:pPr>
            <w:r>
              <w:rPr>
                <w:rFonts w:ascii="Times New Roman" w:cs="Times New Roman" w:eastAsia="Times New Roman" w:hAnsi="Times New Roman"/>
                <w:b w:val="false"/>
                <w:bCs w:val="false"/>
                <w:sz w:val="20"/>
                <w:szCs w:val="20"/>
              </w:rPr>
              <w:t xml:space="preserve">12.13%</w:t>
            </w:r>
          </w:p>
        </w:tc>
        <w:tc>
          <w:tcPr>
            <w:tcW w:type="dxa" w:w="2400"/>
          </w:tcPr>
          <w:p>
            <w:pPr>
              <w:jc w:val="center"/>
            </w:pPr>
            <w:r>
              <w:rPr>
                <w:rFonts w:ascii="Times New Roman" w:cs="Times New Roman" w:eastAsia="Times New Roman" w:hAnsi="Times New Roman"/>
                <w:b w:val="false"/>
                <w:bCs w:val="false"/>
                <w:sz w:val="20"/>
                <w:szCs w:val="20"/>
              </w:rPr>
              <w:t xml:space="preserve">-0.08pp, flat</w:t>
            </w:r>
          </w:p>
        </w:tc>
      </w:tr>
    </w:tbl>
    <w:p>
      <w:pPr>
        <w:spacing w:after="200" w:line="360"/>
        <w:jc w:val="both"/>
      </w:pPr>
      <w:r>
        <w:rPr>
          <w:rFonts w:ascii="Times New Roman" w:cs="Times New Roman" w:eastAsia="Times New Roman" w:hAnsi="Times New Roman"/>
          <w:sz w:val="24"/>
          <w:szCs w:val="24"/>
        </w:rPr>
        <w:t xml:space="preserve">This experiment answers a question Table 6.1 could not: is boutique's regression specific to the injected-stress condition, or does NetPoke cost it accuracy even when there is no I/O-gap stimulus present at all? The answer is the latter. Boutique's L0 RMSE rises from 2.57% to 9.13% with NetPoke on, a 6.56 percentage-point increase, almost the same size as its 6.73 percentage-point increase at L2 in Table 6.1. Two independent experiments, run under different conditions, arriving at close to the same number, is stronger evidence that this is a real, consistent cost than either result would be alone.</w:t>
      </w:r>
    </w:p>
    <w:p>
      <w:pPr>
        <w:spacing w:after="200" w:line="360"/>
        <w:jc w:val="both"/>
      </w:pPr>
      <w:r>
        <w:rPr>
          <w:rFonts w:ascii="Times New Roman" w:cs="Times New Roman" w:eastAsia="Times New Roman" w:hAnsi="Times New Roman"/>
          <w:sz w:val="24"/>
          <w:szCs w:val="24"/>
        </w:rPr>
        <w:t xml:space="preserve">Movie is the cleanest complementary case: flat at L0 (a 0.08 percentage-point change, within noise), and the largest recoverer at L2. Social shows a small L0 cost (3.34 percentage points, worse) alongside its large L2 benefit, the same pattern as movie at a smaller scale. Hotel again improves at L0, again to be read with the same volatility caveat as its L2 result.</w:t>
      </w:r>
    </w:p>
    <w:p>
      <w:pPr>
        <w:pStyle w:val="Heading2"/>
        <w:spacing w:after="150" w:before="300"/>
      </w:pPr>
      <w:r>
        <w:rPr>
          <w:rFonts w:ascii="Times New Roman" w:cs="Times New Roman" w:eastAsia="Times New Roman" w:hAnsi="Times New Roman"/>
          <w:b/>
          <w:bCs/>
          <w:sz w:val="28"/>
          <w:szCs w:val="28"/>
        </w:rPr>
        <w:t xml:space="preserve">6.4 Why Boutique Is Different: A Source-Level Trace</w:t>
      </w:r>
    </w:p>
    <w:p>
      <w:pPr>
        <w:spacing w:after="200" w:line="360"/>
        <w:jc w:val="both"/>
      </w:pPr>
      <w:r>
        <w:rPr>
          <w:rFonts w:ascii="Times New Roman" w:cs="Times New Roman" w:eastAsia="Times New Roman" w:hAnsi="Times New Roman"/>
          <w:sz w:val="24"/>
          <w:szCs w:val="24"/>
        </w:rPr>
        <w:t xml:space="preserve">Two independent experiments now agree that NetPoke costs boutique accuracy with no corresponding benefit. Rather than treat this as an unexplained property of one application, this thesis traces it to its cause by reading the actual code each application's causal target executes when it handles a request.</w:t>
      </w:r>
    </w:p>
    <w:p>
      <w:pPr>
        <w:spacing w:after="100" w:before="200"/>
        <w:jc w:val="left"/>
      </w:pPr>
      <w:r>
        <w:rPr>
          <w:rFonts w:ascii="Times New Roman" w:cs="Times New Roman" w:eastAsia="Times New Roman" w:hAnsi="Times New Roman"/>
          <w:b/>
          <w:bCs/>
          <w:sz w:val="24"/>
          <w:szCs w:val="24"/>
        </w:rPr>
        <w:t xml:space="preserve">Table 6.3: Network calls in each causal target's live request-handling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700"/>
        <w:gridCol w:w="3500"/>
      </w:tblGrid>
      <w:tr>
        <w:tc>
          <w:tcPr>
            <w:tcW w:type="dxa" w:w="1400"/>
            <w:shd w:fill="D9D9D9" w:val="clear"/>
          </w:tcPr>
          <w:p>
            <w:pPr>
              <w:jc w:val="center"/>
            </w:pPr>
            <w:r>
              <w:rPr>
                <w:rFonts w:ascii="Times New Roman" w:cs="Times New Roman" w:eastAsia="Times New Roman" w:hAnsi="Times New Roman"/>
                <w:b/>
                <w:bCs/>
                <w:sz w:val="20"/>
                <w:szCs w:val="20"/>
              </w:rPr>
              <w:t xml:space="preserve">App</w:t>
            </w:r>
          </w:p>
        </w:tc>
        <w:tc>
          <w:tcPr>
            <w:tcW w:type="dxa" w:w="1400"/>
            <w:shd w:fill="D9D9D9" w:val="clear"/>
          </w:tcPr>
          <w:p>
            <w:pPr>
              <w:jc w:val="center"/>
            </w:pPr>
            <w:r>
              <w:rPr>
                <w:rFonts w:ascii="Times New Roman" w:cs="Times New Roman" w:eastAsia="Times New Roman" w:hAnsi="Times New Roman"/>
                <w:b/>
                <w:bCs/>
                <w:sz w:val="20"/>
                <w:szCs w:val="20"/>
              </w:rPr>
              <w:t xml:space="preserve">Target</w:t>
            </w:r>
          </w:p>
        </w:tc>
        <w:tc>
          <w:tcPr>
            <w:tcW w:type="dxa" w:w="2700"/>
            <w:shd w:fill="D9D9D9" w:val="clear"/>
          </w:tcPr>
          <w:p>
            <w:pPr>
              <w:jc w:val="center"/>
            </w:pPr>
            <w:r>
              <w:rPr>
                <w:rFonts w:ascii="Times New Roman" w:cs="Times New Roman" w:eastAsia="Times New Roman" w:hAnsi="Times New Roman"/>
                <w:b/>
                <w:bCs/>
                <w:sz w:val="20"/>
                <w:szCs w:val="20"/>
              </w:rPr>
              <w:t xml:space="preserve">Handler</w:t>
            </w:r>
          </w:p>
        </w:tc>
        <w:tc>
          <w:tcPr>
            <w:tcW w:type="dxa" w:w="3500"/>
            <w:shd w:fill="D9D9D9" w:val="clear"/>
          </w:tcPr>
          <w:p>
            <w:pPr>
              <w:jc w:val="center"/>
            </w:pPr>
            <w:r>
              <w:rPr>
                <w:rFonts w:ascii="Times New Roman" w:cs="Times New Roman" w:eastAsia="Times New Roman" w:hAnsi="Times New Roman"/>
                <w:b/>
                <w:bCs/>
                <w:sz w:val="20"/>
                <w:szCs w:val="20"/>
              </w:rPr>
              <w:t xml:space="preserve">Network calls in the live path</w:t>
            </w:r>
          </w:p>
        </w:tc>
      </w:tr>
      <w:tr>
        <w:tc>
          <w:tcPr>
            <w:tcW w:type="dxa" w:w="1400"/>
          </w:tcPr>
          <w:p>
            <w:pPr>
              <w:jc w:val="center"/>
            </w:pPr>
            <w:r>
              <w:rPr>
                <w:rFonts w:ascii="Times New Roman" w:cs="Times New Roman" w:eastAsia="Times New Roman" w:hAnsi="Times New Roman"/>
                <w:b w:val="false"/>
                <w:bCs w:val="false"/>
                <w:sz w:val="20"/>
                <w:szCs w:val="20"/>
              </w:rPr>
              <w:t xml:space="preserve">Boutique</w:t>
            </w:r>
          </w:p>
        </w:tc>
        <w:tc>
          <w:tcPr>
            <w:tcW w:type="dxa" w:w="1400"/>
          </w:tcPr>
          <w:p>
            <w:pPr>
              <w:jc w:val="center"/>
            </w:pPr>
            <w:r>
              <w:rPr>
                <w:rFonts w:ascii="Times New Roman" w:cs="Times New Roman" w:eastAsia="Times New Roman" w:hAnsi="Times New Roman"/>
                <w:b w:val="false"/>
                <w:bCs w:val="false"/>
                <w:sz w:val="20"/>
                <w:szCs w:val="20"/>
              </w:rPr>
              <w:t xml:space="preserve">cart</w:t>
            </w:r>
          </w:p>
        </w:tc>
        <w:tc>
          <w:tcPr>
            <w:tcW w:type="dxa" w:w="2700"/>
          </w:tcPr>
          <w:p>
            <w:pPr>
              <w:jc w:val="center"/>
            </w:pPr>
            <w:r>
              <w:rPr>
                <w:rFonts w:ascii="Times New Roman" w:cs="Times New Roman" w:eastAsia="Times New Roman" w:hAnsi="Times New Roman"/>
                <w:b w:val="false"/>
                <w:bCs w:val="false"/>
                <w:sz w:val="20"/>
                <w:szCs w:val="20"/>
              </w:rPr>
              <w:t xml:space="preserve">GetCart / AddItem / EmptyCart</w:t>
            </w:r>
          </w:p>
        </w:tc>
        <w:tc>
          <w:tcPr>
            <w:tcW w:type="dxa" w:w="3500"/>
          </w:tcPr>
          <w:p>
            <w:pPr>
              <w:jc w:val="center"/>
            </w:pPr>
            <w:r>
              <w:rPr>
                <w:rFonts w:ascii="Times New Roman" w:cs="Times New Roman" w:eastAsia="Times New Roman" w:hAnsi="Times New Roman"/>
                <w:b w:val="false"/>
                <w:bCs w:val="false"/>
                <w:sz w:val="20"/>
                <w:szCs w:val="20"/>
              </w:rPr>
              <w:t xml:space="preserve">None. In-process sync.Map only; Redis/state code present but unused.</w:t>
            </w:r>
          </w:p>
        </w:tc>
      </w:tr>
      <w:tr>
        <w:tc>
          <w:tcPr>
            <w:tcW w:type="dxa" w:w="1400"/>
          </w:tcPr>
          <w:p>
            <w:pPr>
              <w:jc w:val="center"/>
            </w:pPr>
            <w:r>
              <w:rPr>
                <w:rFonts w:ascii="Times New Roman" w:cs="Times New Roman" w:eastAsia="Times New Roman" w:hAnsi="Times New Roman"/>
                <w:b w:val="false"/>
                <w:bCs w:val="false"/>
                <w:sz w:val="20"/>
                <w:szCs w:val="20"/>
              </w:rPr>
              <w:t xml:space="preserve">Hotel</w:t>
            </w:r>
          </w:p>
        </w:tc>
        <w:tc>
          <w:tcPr>
            <w:tcW w:type="dxa" w:w="1400"/>
          </w:tcPr>
          <w:p>
            <w:pPr>
              <w:jc w:val="center"/>
            </w:pPr>
            <w:r>
              <w:rPr>
                <w:rFonts w:ascii="Times New Roman" w:cs="Times New Roman" w:eastAsia="Times New Roman" w:hAnsi="Times New Roman"/>
                <w:b w:val="false"/>
                <w:bCs w:val="false"/>
                <w:sz w:val="20"/>
                <w:szCs w:val="20"/>
              </w:rPr>
              <w:t xml:space="preserve">profile</w:t>
            </w:r>
          </w:p>
        </w:tc>
        <w:tc>
          <w:tcPr>
            <w:tcW w:type="dxa" w:w="2700"/>
          </w:tcPr>
          <w:p>
            <w:pPr>
              <w:jc w:val="center"/>
            </w:pPr>
            <w:r>
              <w:rPr>
                <w:rFonts w:ascii="Times New Roman" w:cs="Times New Roman" w:eastAsia="Times New Roman" w:hAnsi="Times New Roman"/>
                <w:b w:val="false"/>
                <w:bCs w:val="false"/>
                <w:sz w:val="20"/>
                <w:szCs w:val="20"/>
              </w:rPr>
              <w:t xml:space="preserve">GetProfiles</w:t>
            </w:r>
          </w:p>
        </w:tc>
        <w:tc>
          <w:tcPr>
            <w:tcW w:type="dxa" w:w="3500"/>
          </w:tcPr>
          <w:p>
            <w:pPr>
              <w:jc w:val="center"/>
            </w:pPr>
            <w:r>
              <w:rPr>
                <w:rFonts w:ascii="Times New Roman" w:cs="Times New Roman" w:eastAsia="Times New Roman" w:hAnsi="Times New Roman"/>
                <w:b w:val="false"/>
                <w:bCs w:val="false"/>
                <w:sz w:val="20"/>
                <w:szCs w:val="20"/>
              </w:rPr>
              <w:t xml:space="preserve">slowpoke.GetBulkStateDefault (Dapr state store, Redis-backed).</w:t>
            </w:r>
          </w:p>
        </w:tc>
      </w:tr>
      <w:tr>
        <w:tc>
          <w:tcPr>
            <w:tcW w:type="dxa" w:w="1400"/>
          </w:tcPr>
          <w:p>
            <w:pPr>
              <w:jc w:val="center"/>
            </w:pPr>
            <w:r>
              <w:rPr>
                <w:rFonts w:ascii="Times New Roman" w:cs="Times New Roman" w:eastAsia="Times New Roman" w:hAnsi="Times New Roman"/>
                <w:b w:val="false"/>
                <w:bCs w:val="false"/>
                <w:sz w:val="20"/>
                <w:szCs w:val="20"/>
              </w:rPr>
              <w:t xml:space="preserve">Movie</w:t>
            </w:r>
          </w:p>
        </w:tc>
        <w:tc>
          <w:tcPr>
            <w:tcW w:type="dxa" w:w="1400"/>
          </w:tcPr>
          <w:p>
            <w:pPr>
              <w:jc w:val="center"/>
            </w:pPr>
            <w:r>
              <w:rPr>
                <w:rFonts w:ascii="Times New Roman" w:cs="Times New Roman" w:eastAsia="Times New Roman" w:hAnsi="Times New Roman"/>
                <w:b w:val="false"/>
                <w:bCs w:val="false"/>
                <w:sz w:val="20"/>
                <w:szCs w:val="20"/>
              </w:rPr>
              <w:t xml:space="preserve">moviereviews</w:t>
            </w:r>
          </w:p>
        </w:tc>
        <w:tc>
          <w:tcPr>
            <w:tcW w:type="dxa" w:w="2700"/>
          </w:tcPr>
          <w:p>
            <w:pPr>
              <w:jc w:val="center"/>
            </w:pPr>
            <w:r>
              <w:rPr>
                <w:rFonts w:ascii="Times New Roman" w:cs="Times New Roman" w:eastAsia="Times New Roman" w:hAnsi="Times New Roman"/>
                <w:b w:val="false"/>
                <w:bCs w:val="false"/>
                <w:sz w:val="20"/>
                <w:szCs w:val="20"/>
              </w:rPr>
              <w:t xml:space="preserve">ReadMovieReviews</w:t>
            </w:r>
          </w:p>
        </w:tc>
        <w:tc>
          <w:tcPr>
            <w:tcW w:type="dxa" w:w="3500"/>
          </w:tcPr>
          <w:p>
            <w:pPr>
              <w:jc w:val="center"/>
            </w:pPr>
            <w:r>
              <w:rPr>
                <w:rFonts w:ascii="Times New Roman" w:cs="Times New Roman" w:eastAsia="Times New Roman" w:hAnsi="Times New Roman"/>
                <w:b w:val="false"/>
                <w:bCs w:val="false"/>
                <w:sz w:val="20"/>
                <w:szCs w:val="20"/>
              </w:rPr>
              <w:t xml:space="preserve">slowpoke.GetState (Dapr state store) and slowpoke.Invoke to reviewstorage.</w:t>
            </w:r>
          </w:p>
        </w:tc>
      </w:tr>
      <w:tr>
        <w:tc>
          <w:tcPr>
            <w:tcW w:type="dxa" w:w="1400"/>
          </w:tcPr>
          <w:p>
            <w:pPr>
              <w:jc w:val="center"/>
            </w:pPr>
            <w:r>
              <w:rPr>
                <w:rFonts w:ascii="Times New Roman" w:cs="Times New Roman" w:eastAsia="Times New Roman" w:hAnsi="Times New Roman"/>
                <w:b w:val="false"/>
                <w:bCs w:val="false"/>
                <w:sz w:val="20"/>
                <w:szCs w:val="20"/>
              </w:rPr>
              <w:t xml:space="preserve">Social</w:t>
            </w:r>
          </w:p>
        </w:tc>
        <w:tc>
          <w:tcPr>
            <w:tcW w:type="dxa" w:w="1400"/>
          </w:tcPr>
          <w:p>
            <w:pPr>
              <w:jc w:val="center"/>
            </w:pPr>
            <w:r>
              <w:rPr>
                <w:rFonts w:ascii="Times New Roman" w:cs="Times New Roman" w:eastAsia="Times New Roman" w:hAnsi="Times New Roman"/>
                <w:b w:val="false"/>
                <w:bCs w:val="false"/>
                <w:sz w:val="20"/>
                <w:szCs w:val="20"/>
              </w:rPr>
              <w:t xml:space="preserve">hometimeline</w:t>
            </w:r>
          </w:p>
        </w:tc>
        <w:tc>
          <w:tcPr>
            <w:tcW w:type="dxa" w:w="2700"/>
          </w:tcPr>
          <w:p>
            <w:pPr>
              <w:jc w:val="center"/>
            </w:pPr>
            <w:r>
              <w:rPr>
                <w:rFonts w:ascii="Times New Roman" w:cs="Times New Roman" w:eastAsia="Times New Roman" w:hAnsi="Times New Roman"/>
                <w:b w:val="false"/>
                <w:bCs w:val="false"/>
                <w:sz w:val="20"/>
                <w:szCs w:val="20"/>
              </w:rPr>
              <w:t xml:space="preserve">ReadHomeTimeline</w:t>
            </w:r>
          </w:p>
        </w:tc>
        <w:tc>
          <w:tcPr>
            <w:tcW w:type="dxa" w:w="3500"/>
          </w:tcPr>
          <w:p>
            <w:pPr>
              <w:jc w:val="center"/>
            </w:pPr>
            <w:r>
              <w:rPr>
                <w:rFonts w:ascii="Times New Roman" w:cs="Times New Roman" w:eastAsia="Times New Roman" w:hAnsi="Times New Roman"/>
                <w:b w:val="false"/>
                <w:bCs w:val="false"/>
                <w:sz w:val="20"/>
                <w:szCs w:val="20"/>
              </w:rPr>
              <w:t xml:space="preserve">slowpoke.GetState (Dapr state store) and slowpoke.Invoke to poststorage.</w:t>
            </w:r>
          </w:p>
        </w:tc>
      </w:tr>
    </w:tbl>
    <w:p>
      <w:pPr>
        <w:spacing w:after="200" w:line="360"/>
        <w:jc w:val="both"/>
      </w:pPr>
      <w:r>
        <w:rPr>
          <w:rFonts w:ascii="Times New Roman" w:cs="Times New Roman" w:eastAsia="Times New Roman" w:hAnsi="Times New Roman"/>
          <w:sz w:val="24"/>
          <w:szCs w:val="24"/>
        </w:rPr>
        <w:t xml:space="preserve">Boutique's cart target reads and writes an in-process map (local_carts, a sync.Map) directly. A Redis client and a call to a shared state store exist in the same source file, but neither is reached by the functions the benchmark actually exercises; they are dead code left over from an earlier version of the service. Hotel, movie, and social's targets all call at least one function, slowpoke.GetState or slowpoke.GetBulkStateDefault, that performs a real network round trip to a Dapr-managed, Redis-backed state store, and movie and social additionally call slowpoke.Invoke, confirmed by reading its implementation directly to issue a genuine HTTP POST request to another named service through the pod's local Dapr sidecar.</w:t>
      </w:r>
    </w:p>
    <w:p>
      <w:pPr>
        <w:spacing w:after="200" w:line="360"/>
        <w:jc w:val="both"/>
      </w:pPr>
      <w:r>
        <w:rPr>
          <w:rFonts w:ascii="Times New Roman" w:cs="Times New Roman" w:eastAsia="Times New Roman" w:hAnsi="Times New Roman"/>
          <w:sz w:val="24"/>
          <w:szCs w:val="24"/>
        </w:rPr>
        <w:t xml:space="preserve">This is not a difference of degree. Boutique's target performs zero synchronous network operations in the path this thesis measures; the other three perform at least one, and in two cases two. There is no residual I/O for NetPoke to intercept for boutique, which explains Chapter 4's flat residual-I/O reading, and there is a real, measured per-toggle cost to the netlink hold established in Chapter 5, which explains why turning the mechanism on for boutique adds cost without any I/O leak to offset it. Boutique's regression is therefore explained, not merely observed.</w:t>
      </w:r>
    </w:p>
    <w:p>
      <w:pPr>
        <w:pStyle w:val="Heading2"/>
        <w:spacing w:after="150" w:before="300"/>
      </w:pPr>
      <w:r>
        <w:rPr>
          <w:rFonts w:ascii="Times New Roman" w:cs="Times New Roman" w:eastAsia="Times New Roman" w:hAnsi="Times New Roman"/>
          <w:b/>
          <w:bCs/>
          <w:sz w:val="28"/>
          <w:szCs w:val="28"/>
        </w:rPr>
        <w:t xml:space="preserve">6.5 Synthesis</w:t>
      </w:r>
    </w:p>
    <w:p>
      <w:pPr>
        <w:spacing w:after="200" w:line="360"/>
        <w:jc w:val="both"/>
      </w:pPr>
      <w:r>
        <w:rPr>
          <w:rFonts w:ascii="Times New Roman" w:cs="Times New Roman" w:eastAsia="Times New Roman" w:hAnsi="Times New Roman"/>
          <w:sz w:val="24"/>
          <w:szCs w:val="24"/>
        </w:rPr>
        <w:t xml:space="preserve">Read together, Chapters 4 through 6 tell one coherent story rather than three separate ones. NetPoke's egress hold has a small, close to constant timing cost per pause, visible most clearly in boutique, where it appears at nearly the same size whether or not I/O is being injected, because boutique's target has no I/O for the mechanism to help with. For the three applications whose targets do perform synchronous network I/O, that same small cost is present but is outweighed, substantially in social's case, by the accuracy recovered from suppressing residual I/O during real pause windows. The mechanism is not universally beneficial; it is beneficial specifically where the failure mode described in Chapter 2 actually exists, and close to neutral-to-costly where it does not. That is a narrower, more defensible claim than "NetPoke improves SlowPoke," and it is the claim this thesis's evidence actually supports.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2026-07-21T11:04:12.746Z</dcterms:created>
  <dcterms:modified xsi:type="dcterms:W3CDTF">2026-07-21T11:04:12.748Z</dcterms:modified>
</cp:coreProperties>
</file>

<file path=docProps/custom.xml><?xml version="1.0" encoding="utf-8"?>
<Properties xmlns="http://schemas.openxmlformats.org/officeDocument/2006/custom-properties" xmlns:vt="http://schemas.openxmlformats.org/officeDocument/2006/docPropsVTypes"/>
</file>