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7: Discussion and Limitations</w:t>
      </w:r>
    </w:p>
    <w:p>
      <w:pPr>
        <w:pStyle w:val="Heading2"/>
        <w:spacing w:after="150" w:before="300"/>
      </w:pPr>
      <w:r>
        <w:rPr>
          <w:rFonts w:ascii="Times New Roman" w:cs="Times New Roman" w:eastAsia="Times New Roman" w:hAnsi="Times New Roman"/>
          <w:b/>
          <w:bCs/>
          <w:sz w:val="28"/>
          <w:szCs w:val="28"/>
        </w:rPr>
        <w:t xml:space="preserve">7.1 Single-Run Measurements and Cluster Noise</w:t>
      </w:r>
    </w:p>
    <w:p>
      <w:pPr>
        <w:spacing w:after="200" w:line="360"/>
        <w:jc w:val="both"/>
      </w:pPr>
      <w:r>
        <w:rPr>
          <w:rFonts w:ascii="Times New Roman" w:cs="Times New Roman" w:eastAsia="Times New Roman" w:hAnsi="Times New Roman"/>
          <w:sz w:val="24"/>
          <w:szCs w:val="24"/>
        </w:rPr>
        <w:t xml:space="preserve">Every quantitative result in Chapters 3, 4, and 6 comes from a single run per application per condition, not an average over repeated trials. This was a deliberate scoping decision given the cluster time available for this thesis, not an oversight, but it is a real limitation and this thesis does not pretend otherwise. The clearest evidence of why it matters is hotel: its baseline RMSE with no injection at all moved from roughly 10% to roughly 20% between two runs collected under nominally identical conditions, before either the I/O-gap injection in Chapter 3 or NetPoke itself entered the picture. A movement of that size, on a measurement with no experimental manipulation applied yet, sets a lower bound on how much weight any single-run comparison on this cluster can bear. Results reported once, such as hotel's specific L0-to-L2 trend in Chapter 3, should be read as suggestive rather than conclusive until repeated.</w:t>
      </w:r>
    </w:p>
    <w:p>
      <w:pPr>
        <w:spacing w:after="200" w:line="360"/>
        <w:jc w:val="both"/>
      </w:pPr>
      <w:r>
        <w:rPr>
          <w:rFonts w:ascii="Times New Roman" w:cs="Times New Roman" w:eastAsia="Times New Roman" w:hAnsi="Times New Roman"/>
          <w:sz w:val="24"/>
          <w:szCs w:val="24"/>
        </w:rPr>
        <w:t xml:space="preserve">Not every result in this thesis carries that caveat equally. Boutique's regression under NetPoke was measured twice, independently, once under injected I/O stress (Chapter 6, Table 6.1) and once with no injection at all (Chapter 6, Table 6.2), landing within 0.2 percentage points of each other, 6.73 and 6.56. Two independently run experiments agreeing that closely is a form of replication even without repeated trials of the same condition, and this thesis treats that specific result as considerably better supported than, for example, hotel's single-run numbers.</w:t>
      </w:r>
    </w:p>
    <w:p>
      <w:pPr>
        <w:pStyle w:val="Heading2"/>
        <w:spacing w:after="150" w:before="300"/>
      </w:pPr>
      <w:r>
        <w:rPr>
          <w:rFonts w:ascii="Times New Roman" w:cs="Times New Roman" w:eastAsia="Times New Roman" w:hAnsi="Times New Roman"/>
          <w:b/>
          <w:bCs/>
          <w:sz w:val="28"/>
          <w:szCs w:val="28"/>
        </w:rPr>
        <w:t xml:space="preserve">7.2 The Netem-RMSE Method as a Noisy Proxy</w:t>
      </w:r>
    </w:p>
    <w:p>
      <w:pPr>
        <w:spacing w:after="200" w:line="360"/>
        <w:jc w:val="both"/>
      </w:pPr>
      <w:r>
        <w:rPr>
          <w:rFonts w:ascii="Times New Roman" w:cs="Times New Roman" w:eastAsia="Times New Roman" w:hAnsi="Times New Roman"/>
          <w:sz w:val="24"/>
          <w:szCs w:val="24"/>
        </w:rPr>
        <w:t xml:space="preserve">Chapter 3's injection method and Chapter 4's in-pod sampler measure related but distinct things: the first observes an aggregate accuracy effect several steps removed from the underlying phenomenon, the second observes the phenomenon, residual bytes crossing a pause window, directly. Hotel's contradictory result in Chapter 3, resolved by Chapter 4's direct measurement showing nothing unusual for hotel, is the clearest demonstration in this thesis that the two methods are not interchangeable. A methodological lesson worth stating plainly for anyone extending this work: an indirect, end-to-end accuracy proxy is a reasonable way to first notice that a phenomenon might exist, but it is not a substitute for measuring the phenomenon itself once a fix is being evaluated. This thesis only reached that conclusion after building the direct instrument in Chapter 4; had it stopped at Chapter 3's numbers, hotel would have been reported as evidence against the I/O-gap hypothesis rather than as a case the netem method happened to measure poorly.</w:t>
      </w:r>
    </w:p>
    <w:p>
      <w:pPr>
        <w:pStyle w:val="Heading2"/>
        <w:spacing w:after="150" w:before="300"/>
      </w:pPr>
      <w:r>
        <w:rPr>
          <w:rFonts w:ascii="Times New Roman" w:cs="Times New Roman" w:eastAsia="Times New Roman" w:hAnsi="Times New Roman"/>
          <w:b/>
          <w:bCs/>
          <w:sz w:val="28"/>
          <w:szCs w:val="28"/>
        </w:rPr>
        <w:t xml:space="preserve">7.3 Where NetPoke Costs More Than It Helps</w:t>
      </w:r>
    </w:p>
    <w:p>
      <w:pPr>
        <w:spacing w:after="200" w:line="360"/>
        <w:jc w:val="both"/>
      </w:pPr>
      <w:r>
        <w:rPr>
          <w:rFonts w:ascii="Times New Roman" w:cs="Times New Roman" w:eastAsia="Times New Roman" w:hAnsi="Times New Roman"/>
          <w:sz w:val="24"/>
          <w:szCs w:val="24"/>
        </w:rPr>
        <w:t xml:space="preserve">Boutique's regression, established in Chapter 6 and traced to a specific, verifiable cause, is a genuine limitation of the mechanism as built, not a data artefact to be explained away. The egress hold has a real per-toggle cost, and for a target whose request-handling code performs no synchronous network I/O, that cost has nothing to offset it. The practical implication is that NetPoke should not be treated as a mechanism to enable unconditionally on every service in a deployment. A deployment that can identify, even approximately, which of its services' causal targets actually perform synchronous I/O on their request path, whether by the kind of source inspection used in Chapter 6 or by a lighter-weight runtime check, could apply NetPoke selectively and avoid this cost entirely for the services it does not help. This thesis did not build such a selection mechanism; it identifies the need for one as a direct consequence of its own results.</w:t>
      </w:r>
    </w:p>
    <w:p>
      <w:pPr>
        <w:pStyle w:val="Heading2"/>
        <w:spacing w:after="150" w:before="300"/>
      </w:pPr>
      <w:r>
        <w:rPr>
          <w:rFonts w:ascii="Times New Roman" w:cs="Times New Roman" w:eastAsia="Times New Roman" w:hAnsi="Times New Roman"/>
          <w:b/>
          <w:bCs/>
          <w:sz w:val="28"/>
          <w:szCs w:val="28"/>
        </w:rPr>
        <w:t xml:space="preserve">7.4 Scope Boundaries</w:t>
      </w:r>
    </w:p>
    <w:p>
      <w:pPr>
        <w:spacing w:after="200" w:line="360"/>
        <w:jc w:val="both"/>
      </w:pPr>
      <w:r>
        <w:rPr>
          <w:rFonts w:ascii="Times New Roman" w:cs="Times New Roman" w:eastAsia="Times New Roman" w:hAnsi="Times New Roman"/>
          <w:sz w:val="24"/>
          <w:szCs w:val="24"/>
        </w:rPr>
        <w:t xml:space="preserve">Several boundaries were set deliberately at the start of this thesis and remain in place. NetPoke addresses network I/O only; disk I/O buffering, which can produce a related but mechanistically different failure mode, is out of scope and untouched by this work. The underlying sch_plug queueing discipline is used as the kernel already provides it, with no modification to its own implementation and no exploration of alternative kernel-level hold mechanisms that might have lower overhead than the one measured in Chapter 6. SlowPoke's own performance model and its use of SIGSTOP as the scheduling-layer pause primitive are unchanged; NetPoke adds a layer beneath the existing mechanism rather than replacing any part of it.</w:t>
      </w:r>
    </w:p>
    <w:p>
      <w:pPr>
        <w:spacing w:after="200" w:line="360"/>
        <w:jc w:val="both"/>
      </w:pPr>
      <w:r>
        <w:rPr>
          <w:rFonts w:ascii="Times New Roman" w:cs="Times New Roman" w:eastAsia="Times New Roman" w:hAnsi="Times New Roman"/>
          <w:sz w:val="24"/>
          <w:szCs w:val="24"/>
        </w:rPr>
        <w:t xml:space="preserve">One assumption stated in this thesis's original scope, that pause durations stay within a range comparable to normal network round-trip latency, was never directly tested against measured pause-duration data; it was a design assumption made when choosing to hold traffic for the pause's actual duration rather than a fixed interval, and this thesis's results do not depend on it having been verified, since the hold is driven by real pause boundaries regardless of their length. It is nonetheless worth flagging as an assumption that was stated but not independently confirmed.</w:t>
      </w:r>
    </w:p>
    <w:p>
      <w:pPr>
        <w:pStyle w:val="Heading2"/>
        <w:spacing w:after="150" w:before="300"/>
      </w:pPr>
      <w:r>
        <w:rPr>
          <w:rFonts w:ascii="Times New Roman" w:cs="Times New Roman" w:eastAsia="Times New Roman" w:hAnsi="Times New Roman"/>
          <w:b/>
          <w:bCs/>
          <w:sz w:val="28"/>
          <w:szCs w:val="28"/>
        </w:rPr>
        <w:t xml:space="preserve">7.5 Generalisability</w:t>
      </w:r>
    </w:p>
    <w:p>
      <w:pPr>
        <w:spacing w:after="200" w:line="360"/>
        <w:jc w:val="both"/>
      </w:pPr>
      <w:r>
        <w:rPr>
          <w:rFonts w:ascii="Times New Roman" w:cs="Times New Roman" w:eastAsia="Times New Roman" w:hAnsi="Times New Roman"/>
          <w:sz w:val="24"/>
          <w:szCs w:val="24"/>
        </w:rPr>
        <w:t xml:space="preserve">All results in this thesis come from four applications on one cluster configuration. Three of the four (hotel, social, movie) are DeathStarBench benchmarks chosen specifically because they are independently maintained rather than built for this project, which supports generalisation better than a custom test suite would, but four applications, three of them drawn from a single benchmark suite, is still a narrow base from which to claim the mechanism generalises to arbitrary microservice deployments. Applications with I/O patterns not represented in this set, very bursty request-triggered I/O, long-lived streaming connections, or heavy disk rather than network I/O, have not been tested and may behave differently. The claim this thesis supports is narrower and more precise: for services whose causal target performs synchronous network I/O of the kind exhibited by hotel, social, and movie's targets, NetPoke measurably improves SlowPoke's prediction accuracy on this cluster; broader claims would need broader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2026-07-21T11:05:20.914Z</dcterms:created>
  <dcterms:modified xsi:type="dcterms:W3CDTF">2026-07-21T11:05:20.915Z</dcterms:modified>
</cp:coreProperties>
</file>

<file path=docProps/custom.xml><?xml version="1.0" encoding="utf-8"?>
<Properties xmlns="http://schemas.openxmlformats.org/officeDocument/2006/custom-properties" xmlns:vt="http://schemas.openxmlformats.org/officeDocument/2006/docPropsVTypes"/>
</file>