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sz w:val="32"/>
          <w:szCs w:val="32"/>
        </w:rPr>
        <w:t xml:space="preserve">Chapter 8: Conclusion</w:t>
      </w:r>
    </w:p>
    <w:p>
      <w:pPr>
        <w:pStyle w:val="Heading2"/>
        <w:spacing w:after="150" w:before="300"/>
      </w:pPr>
      <w:r>
        <w:rPr>
          <w:rFonts w:ascii="Times New Roman" w:cs="Times New Roman" w:eastAsia="Times New Roman" w:hAnsi="Times New Roman"/>
          <w:b/>
          <w:bCs/>
          <w:sz w:val="28"/>
          <w:szCs w:val="28"/>
        </w:rPr>
        <w:t xml:space="preserve">8.1 Summary of Contributions</w:t>
      </w:r>
    </w:p>
    <w:p>
      <w:pPr>
        <w:spacing w:after="200" w:line="360"/>
        <w:jc w:val="both"/>
      </w:pPr>
      <w:r>
        <w:rPr>
          <w:rFonts w:ascii="Times New Roman" w:cs="Times New Roman" w:eastAsia="Times New Roman" w:hAnsi="Times New Roman"/>
          <w:sz w:val="24"/>
          <w:szCs w:val="24"/>
        </w:rPr>
        <w:t xml:space="preserve">This thesis set out from a limitation SlowPoke's own authors acknowledged but did not measure or address: the SIGSTOP-based pausing mechanism at the core of their causal-profiling system freezes a process's scheduling but not the kernel's handling of that process's open network connections, so services whose bottleneck is synchronous I/O rather than CPU time are not paused as completely as the performance model assumes. Five contributions follow from taking that limitation seriously rather than leaving it as a footnote.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Chapter 3 measured the size of the problem on a real cluster reproduction of SlowPoke's own evaluation, finding baseline prediction error ranging from 2.57% for a target with no synchronous I/O dependency to over 20% for one with real downstream calls, even before any additional I/O stress was introduced.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Chapter 4 built a direct, in-pod measurement of residual I/O crossing real pause windows, replacing an earlier, coarser instrument, and used it to resolve a case (hotel) where the indirect measurement in Chapter 3 gave a misleading result.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Chapter 5 designed and implemented NetPoke, a network egress hold built directly into SlowPoke's own pause controller using a Linux queueing discipline, synchronised to real SIGSTOP and SIGCONT events rather than to a separately configured delay.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Chapter 6 showed that NetPoke reduces residual I/O by a factor of two to four for three of the four applications tested (Chapter 4), and that this translates into restored prediction accuracy for the same three applications, most substantially for social network, which recovers 76% of the accuracy it lost under injected I/O stress (Chapter 6).</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Chapter 6 also found, and traced to a specific, verifiable cause in source code, the one case where NetPoke does not help: a target with no synchronous I/O in its live request path gains nothing from the mechanism and pays its small per-toggle cost regardless, at both baseline and under injected stress.</w:t>
      </w:r>
    </w:p>
    <w:p>
      <w:pPr>
        <w:pStyle w:val="Heading2"/>
        <w:spacing w:after="150" w:before="300"/>
      </w:pPr>
      <w:r>
        <w:rPr>
          <w:rFonts w:ascii="Times New Roman" w:cs="Times New Roman" w:eastAsia="Times New Roman" w:hAnsi="Times New Roman"/>
          <w:b/>
          <w:bCs/>
          <w:sz w:val="28"/>
          <w:szCs w:val="28"/>
        </w:rPr>
        <w:t xml:space="preserve">8.2 Why This Matters</w:t>
      </w:r>
    </w:p>
    <w:p>
      <w:pPr>
        <w:spacing w:after="200" w:line="360"/>
        <w:jc w:val="both"/>
      </w:pPr>
      <w:r>
        <w:rPr>
          <w:rFonts w:ascii="Times New Roman" w:cs="Times New Roman" w:eastAsia="Times New Roman" w:hAnsi="Times New Roman"/>
          <w:sz w:val="24"/>
          <w:szCs w:val="24"/>
        </w:rPr>
        <w:t xml:space="preserve">SlowPoke remains, to this thesis's knowledge, the only published system that answers what-if throughput questions for microservice applications without requiring distributed tracing infrastructure or prior knowledge of the service call graph. Its restriction to CPU-bound services, before this work, meant that a large and increasingly common class of production services, anything built around a database call or a synchronous call to another service, sat outside its reliable operating range. Extending it to that class of service, even partially and with a documented boundary case, is a meaningful expansion of what causal profiling can be used for in practice, and the boundary case itself is a useful result: it shows engineers deploying this technique what to check for before enabling it, rather than leaving them to discover the cost by trial and error.</w:t>
      </w:r>
    </w:p>
    <w:p>
      <w:pPr>
        <w:pStyle w:val="Heading2"/>
        <w:spacing w:after="150" w:before="300"/>
      </w:pPr>
      <w:r>
        <w:rPr>
          <w:rFonts w:ascii="Times New Roman" w:cs="Times New Roman" w:eastAsia="Times New Roman" w:hAnsi="Times New Roman"/>
          <w:b/>
          <w:bCs/>
          <w:sz w:val="28"/>
          <w:szCs w:val="28"/>
        </w:rPr>
        <w:t xml:space="preserve">8.3 Future Work</w:t>
      </w:r>
    </w:p>
    <w:p>
      <w:pPr>
        <w:spacing w:after="200" w:line="360"/>
        <w:jc w:val="both"/>
      </w:pPr>
      <w:r>
        <w:rPr>
          <w:rFonts w:ascii="Times New Roman" w:cs="Times New Roman" w:eastAsia="Times New Roman" w:hAnsi="Times New Roman"/>
          <w:sz w:val="24"/>
          <w:szCs w:val="24"/>
        </w:rPr>
        <w:t xml:space="preserve">Three directions follow directly from the limitations discussed in Chapter 7. Repeating this thesis's key measurements, particularly social network's L2 RMSE recovery and boutique's paired L0 and L2 regressions, across multiple trials would replace single-run point estimates with confidence intervals and settle how much of hotel's volatility is measurement noise rather than a real effect specific to that application. A selective-enablement mechanism, one that could identify, at deploy time or at runtime, which services' causal targets genuinely perform synchronous network I/O, would let NetPoke be applied where it helps and skipped where it only costs, addressing the practical implication of boutique's result directly rather than leaving it as a caveat. Finally, broadening the evaluation beyond the four applications used here, particularly to services with disk I/O or long-lived streaming connections rather than short synchronous request-response calls, would test how far the claims in this thesis actually generalise beyond the specific I/O pattern DeathStarBench's applications happen to exhibit.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2026-07-21T11:06:13.352Z</dcterms:created>
  <dcterms:modified xsi:type="dcterms:W3CDTF">2026-07-21T11:06:13.353Z</dcterms:modified>
</cp:coreProperties>
</file>

<file path=docProps/custom.xml><?xml version="1.0" encoding="utf-8"?>
<Properties xmlns="http://schemas.openxmlformats.org/officeDocument/2006/custom-properties" xmlns:vt="http://schemas.openxmlformats.org/officeDocument/2006/docPropsVTypes"/>
</file>