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NetPoke — Experimental Results</w:t>
      </w:r>
    </w:p>
    <w:p>
      <w:pPr>
        <w:pStyle w:val="Normal"/>
      </w:pPr>
      <w:r>
        <w:rPr>
          <w:color w:val="666666"/>
        </w:rPr>
        <w:t xml:space="preserve">MPhil Computer Science · KNUST · 2026</w:t>
      </w:r>
    </w:p>
    <w:p>
      <w:pPr>
        <w:pStyle w:val="Note"/>
      </w:pPr>
      <w:r>
        <w:t xml:space="preserve">All tables are single-run measurements on the departmental cluster. Treat magnitudes as directional; directions are consistent across independent re-runs where noted.</w:t>
      </w:r>
    </w:p>
    <w:p>
      <w:pPr>
        <w:pStyle w:val="Normal"/>
      </w:pPr>
    </w:p>
    <w:p>
      <w:pPr>
        <w:pStyle w:val="Heading1"/>
      </w:pPr>
      <w:r>
        <w:t xml:space="preserve">Table B1 - SlowPoke Baseline (L0, SIGSTOP-only)</w:t>
      </w:r>
    </w:p>
    <w:p>
      <w:pPr>
        <w:pStyle w:val="Caption"/>
      </w:pPr>
      <w:r>
        <w:t xml:space="preserve">RQ: What is the unmodified SlowPoke prediction accuracy on this cluster? (Phase 1 / §5.1 style)</w:t>
      </w:r>
    </w:p>
    <w:p>
      <w:pPr>
        <w:pStyle w:val="Note"/>
      </w:pPr>
      <w:r>
        <w:t xml:space="preserve">Standard run-*-medium.sh, SIGSTOP-only, one repetition. Collected 2026-07-16/17 on the bug-fixed harness (empty-times guard, wrk duration cap, nil-guard in fix_req_n.lua). This is the baseline of record for all subsequent comparisons.</w:t>
      </w:r>
    </w:p>
    <w:p>
      <w:pPr>
        <w:pStyle w:val="Normal"/>
      </w:pPr>
    </w:p>
    <w:tbl>
      <w:tblPr>
        <w:tblStyle w:val="TableGrid"/>
        <w:tblW w:w="0" w:type="auto"/>
        <w:tblBorders>
          <w:insideH w:val="single" w:sz="4" w:color="9E9E9E"/>
          <w:insideV w:val="single" w:sz="4" w:color="9E9E9E"/>
        </w:tblBorders>
        <w:tblLook w:val="04A0"/>
      </w:tblPr>
      <w:tr>
        <w:trPr>
          <w:tblHeader/>
        </w:trPr>
        <w:tc>
          <w:tcPr>
            <w:tcW w:w="11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App</w:t>
            </w:r>
          </w:p>
        </w:tc>
        <w:tc>
          <w:tcPr>
            <w:tcW w:w="22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Target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Baseline throughput (req/s)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RMSE (%)</w:t>
            </w:r>
          </w:p>
        </w:tc>
      </w:tr>
      <w:tr>
        <w:tc>
          <w:tcPr>
            <w:tcW w:w="11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cart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1937.3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2.57</w:t>
            </w:r>
          </w:p>
        </w:tc>
      </w:tr>
      <w:tr>
        <w:tc>
          <w:tcPr>
            <w:tcW w:w="11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profile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723.9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20.65</w:t>
            </w:r>
          </w:p>
        </w:tc>
      </w:tr>
      <w:tr>
        <w:tc>
          <w:tcPr>
            <w:tcW w:w="11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hometimeline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959.9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14.01</w:t>
            </w:r>
          </w:p>
        </w:tc>
      </w:tr>
      <w:tr>
        <w:tc>
          <w:tcPr>
            <w:tcW w:w="11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moviereviews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550.8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12.21</w:t>
            </w:r>
          </w:p>
        </w:tc>
      </w:tr>
    </w:tbl>
    <w:p>
      <w:pPr>
        <w:pStyle w:val="Normal"/>
      </w:pPr>
    </w:p>
    <w:p>
      <w:pPr>
        <w:pStyle w:val="Note"/>
      </w:pPr>
      <w:r>
        <w:t xml:space="preserve">Boutique 2.57% is close to the paper's reported ~2.07% — best agreement this project has produced. Hotel and Social are higher than the previous run; consistent with single-repetition run-to-run variance rather than a regression, since none of the harness fixes touch hotel/social-specific code paths.</w:t>
      </w:r>
    </w:p>
    <w:p>
      <w:r>
        <w:br w:type="page"/>
      </w:r>
    </w:p>
    <w:p>
      <w:pPr>
        <w:pStyle w:val="Heading1"/>
      </w:pPr>
      <w:r>
        <w:t xml:space="preserve">Table I1 - RMSE vs I/O Injection Level (SIGSTOP-only)</w:t>
      </w:r>
    </w:p>
    <w:p>
      <w:pPr>
        <w:pStyle w:val="Caption"/>
      </w:pPr>
      <w:r>
        <w:t xml:space="preserve">RQ1: Does adding synchronous downstream I/O latency increase SlowPoke prediction error? (Phase 2)</w:t>
      </w:r>
    </w:p>
    <w:p>
      <w:pPr>
        <w:pStyle w:val="Note"/>
      </w:pPr>
      <w:r>
        <w:t xml:space="preserve">Fixed -x target; L1 adds tc netem on one downstream service (30ms); L2 adds a second (50ms primary + 30ms secondary). Collected 2026-07-17.</w:t>
      </w:r>
    </w:p>
    <w:p>
      <w:pPr>
        <w:pStyle w:val="Normal"/>
      </w:pPr>
    </w:p>
    <w:tbl>
      <w:tblPr>
        <w:tblStyle w:val="TableGrid"/>
        <w:tblW w:w="0" w:type="auto"/>
        <w:tblBorders>
          <w:insideH w:val="single" w:sz="4" w:color="9E9E9E"/>
          <w:insideV w:val="single" w:sz="4" w:color="9E9E9E"/>
        </w:tblBorders>
        <w:tblLook w:val="04A0"/>
      </w:tblPr>
      <w:tr>
        <w:trPr>
          <w:tblHeader/>
        </w:trPr>
        <w:tc>
          <w:tcPr>
            <w:tcW w:w="10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App</w:t>
            </w:r>
          </w:p>
        </w:tc>
        <w:tc>
          <w:tcPr>
            <w:tcW w:w="18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Level / Injection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Baseline (req/s)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RMSE (%)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Mean err (%)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L0 — cart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1937.3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2.57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2.13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L1 — cart + productcatalog 30ms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2002.1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4.85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3.89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L2 — cart + productcatalog 50ms, currency 30ms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1995.7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3.53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2.63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L0 — profile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723.9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20.65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16.99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L1 — profile + rate 30ms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729.5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20.03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16.27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L2 — profile + rate 50ms, user 30ms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768.7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17.51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14.88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L0 — hometimeline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959.9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14.01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10.85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L1 — hometimeline + poststorage 30ms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943.3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30.33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22.13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L2 — hometimeline + poststorage 50ms, socialgraph 30ms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788.1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33.61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28.29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L0 — moviereviews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550.8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12.21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10.01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L1 — moviereviews + reviewstorage 30ms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626.8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28.48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18.46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L2 — moviereviews + reviewstorage 50ms, movieinfo 30ms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651.9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13.84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12.40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L2 − L0 RMSE delta summary</w:t>
      </w:r>
    </w:p>
    <w:tbl>
      <w:tblPr>
        <w:tblStyle w:val="TableGrid"/>
        <w:tblW w:w="0" w:type="auto"/>
        <w:tblBorders>
          <w:insideH w:val="single" w:sz="4" w:color="9E9E9E"/>
          <w:insideV w:val="single" w:sz="4" w:color="9E9E9E"/>
        </w:tblBorders>
        <w:tblLook w:val="04A0"/>
      </w:tblPr>
      <w:tr>
        <w:trPr>
          <w:tblHeader/>
        </w:trPr>
        <w:tc>
          <w:tcPr>
            <w:tcW w:w="12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App</w:t>
            </w:r>
          </w:p>
        </w:tc>
        <w:tc>
          <w:tcPr>
            <w:tcW w:w="20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L0 RMSE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L2 RMSE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Delta (pp)</w:t>
            </w:r>
          </w:p>
        </w:tc>
        <w:tc>
          <w:tcPr>
            <w:tcW w:w="22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Monotonic L0→L1→L2?</w:t>
            </w:r>
          </w:p>
        </w:tc>
        <w:tc>
          <w:tcPr>
            <w:tcW w:w="15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Supports RQ1?</w:t>
            </w:r>
          </w:p>
        </w:tc>
      </w:tr>
      <w:tr>
        <w:tc>
          <w:tcPr>
            <w:tcW w:w="1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2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14.01%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33.61%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+19.60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Yes (14.01→30.33→33.61)</w:t>
            </w:r>
          </w:p>
        </w:tc>
        <w:tc>
          <w:tcPr>
            <w:tcW w:w="15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Yes — strongest, cleanest</w:t>
            </w:r>
          </w:p>
        </w:tc>
      </w:tr>
      <w:tr>
        <w:tc>
          <w:tcPr>
            <w:tcW w:w="1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2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12.21%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13.84%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+1.63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No — L1 spikes to 28.48</w:t>
            </w:r>
          </w:p>
        </w:tc>
        <w:tc>
          <w:tcPr>
            <w:tcW w:w="15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Ambiguous — net positive</w:t>
            </w:r>
          </w:p>
        </w:tc>
      </w:tr>
      <w:tr>
        <w:tc>
          <w:tcPr>
            <w:tcW w:w="1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2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2.57%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3.53%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+0.96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No — L1 (4.85) is peak</w:t>
            </w:r>
          </w:p>
        </w:tc>
        <w:tc>
          <w:tcPr>
            <w:tcW w:w="15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Weakly yes — not clean</w:t>
            </w:r>
          </w:p>
        </w:tc>
      </w:tr>
      <w:tr>
        <w:tc>
          <w:tcPr>
            <w:tcW w:w="1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2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20.65%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17.51%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−3.14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Yes, but decreasing</w:t>
            </w:r>
          </w:p>
        </w:tc>
        <w:tc>
          <w:tcPr>
            <w:tcW w:w="15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No — reversed direction</w:t>
            </w:r>
          </w:p>
        </w:tc>
      </w:tr>
    </w:tbl>
    <w:p>
      <w:pPr>
        <w:pStyle w:val="Normal"/>
      </w:pPr>
    </w:p>
    <w:p>
      <w:pPr>
        <w:pStyle w:val="Note"/>
      </w:pPr>
      <w:r>
        <w:t xml:space="preserve">Social is the strongest, cleanest evidence for the I/O-gap hypothesis: a genuinely monotonic +19.6 pp increase. Hotel reversed direction from the previous run — its L0 RMSE alone nearly doubled between two identical runs (10.23%→20.65%), indicating high run-to-run sensitivity on this cluster. 3 of 4 apps show a net increase; treat per-app trends as directional.</w:t>
      </w:r>
    </w:p>
    <w:p>
      <w:r>
        <w:br w:type="page"/>
      </w:r>
    </w:p>
    <w:p>
      <w:pPr>
        <w:pStyle w:val="Heading1"/>
      </w:pPr>
      <w:r>
        <w:t xml:space="preserve">Table N2 - End-to-End RMSE: SIGSTOP-only vs NetPoke-on at L2</w:t>
      </w:r>
    </w:p>
    <w:p>
      <w:pPr>
        <w:pStyle w:val="Caption"/>
      </w:pPr>
      <w:r>
        <w:t xml:space="preserve">RQ4: Does NetPoke egress hold restore prediction accuracy under I/O-gap injection? (Phase 4)</w:t>
      </w:r>
    </w:p>
    <w:p>
      <w:pPr>
        <w:pStyle w:val="Note"/>
      </w:pPr>
      <w:r>
        <w:t xml:space="preserve">Same 10-point SlowPoke benchmark at L2 with SLOWPOKE_NETPOKE=1. Collected 2026-07-19.</w:t>
      </w:r>
    </w:p>
    <w:p>
      <w:pPr>
        <w:pStyle w:val="Normal"/>
      </w:pPr>
    </w:p>
    <w:tbl>
      <w:tblPr>
        <w:tblStyle w:val="TableGrid"/>
        <w:tblW w:w="0" w:type="auto"/>
        <w:tblBorders>
          <w:insideH w:val="single" w:sz="4" w:color="9E9E9E"/>
          <w:insideV w:val="single" w:sz="4" w:color="9E9E9E"/>
        </w:tblBorders>
        <w:tblLook w:val="04A0"/>
      </w:tblPr>
      <w:tr>
        <w:trPr>
          <w:tblHeader/>
        </w:trPr>
        <w:tc>
          <w:tcPr>
            <w:tcW w:w="10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App</w:t>
            </w:r>
          </w:p>
        </w:tc>
        <w:tc>
          <w:tcPr>
            <w:tcW w:w="18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L0 Baseline RMSE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SIGSTOP-only L2 RMSE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NetPoke-on L2 RMSE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Change (NetPoke vs SIGSTOP-only)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2.57%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3.53%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color w:val="C00000"/>
              </w:rPr>
              <w:t xml:space="preserve">10.26%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+6.73pp — worse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20.65%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17.51%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color w:val="375623"/>
              </w:rPr>
              <w:t xml:space="preserve">10.25%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−7.26pp — better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14.01%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33.61%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color w:val="375623"/>
              </w:rPr>
              <w:t xml:space="preserve">18.69%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−14.92pp — better, largest recovery</w:t>
            </w:r>
          </w:p>
        </w:tc>
      </w:tr>
      <w:tr>
        <w:tc>
          <w:tcPr>
            <w:tcW w:w="10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12.21%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13.84%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color w:val="375623"/>
              </w:rPr>
              <w:t xml:space="preserve">10.23%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−3.61pp — better, below L0 baseline</w:t>
            </w:r>
          </w:p>
        </w:tc>
      </w:tr>
    </w:tbl>
    <w:p>
      <w:pPr>
        <w:pStyle w:val="Normal"/>
      </w:pPr>
    </w:p>
    <w:p>
      <w:pPr>
        <w:pStyle w:val="Note"/>
      </w:pPr>
      <w:r>
        <w:t xml:space="preserve">Social recovers 76% of the injected gap: (33.61−18.69)/(33.61−14.01). Hotel and Movie also improve, ending at or below their L0 baselines. Boutique gets worse — consistent with its cart handler having zero synchronous network I/O (see Boutique Fan-out Finding). Hotel's result should be read with the standing volatility caveat.</w:t>
      </w:r>
    </w:p>
    <w:p>
      <w:r>
        <w:br w:type="page"/>
      </w:r>
    </w:p>
    <w:p>
      <w:pPr>
        <w:pStyle w:val="Heading1"/>
      </w:pPr>
      <w:r>
        <w:t xml:space="preserve">Table N3 - L0 RMSE Overhead: SIGSTOP-only vs NetPoke-on (No Injection)</w:t>
      </w:r>
    </w:p>
    <w:p>
      <w:pPr>
        <w:pStyle w:val="Caption"/>
      </w:pPr>
      <w:r>
        <w:t xml:space="preserve">RQ5: Does NetPoke mechanism cost accuracy even at baseline, with nothing to fix? (Phase 5)</w:t>
      </w:r>
    </w:p>
    <w:p>
      <w:pPr>
        <w:pStyle w:val="Note"/>
      </w:pPr>
      <w:r>
        <w:t xml:space="preserve">Same 10-point benchmark at L0 (no netem) with SLOWPOKE_NETPOKE=1. Collected 2026-07-20. Motivated by Table N2's boutique regression.</w:t>
      </w:r>
    </w:p>
    <w:p>
      <w:pPr>
        <w:pStyle w:val="Normal"/>
      </w:pPr>
    </w:p>
    <w:tbl>
      <w:tblPr>
        <w:tblStyle w:val="TableGrid"/>
        <w:tblW w:w="0" w:type="auto"/>
        <w:tblBorders>
          <w:insideH w:val="single" w:sz="4" w:color="9E9E9E"/>
          <w:insideV w:val="single" w:sz="4" w:color="9E9E9E"/>
        </w:tblBorders>
        <w:tblLook w:val="04A0"/>
      </w:tblPr>
      <w:tr>
        <w:trPr>
          <w:tblHeader/>
        </w:trPr>
        <w:tc>
          <w:tcPr>
            <w:tcW w:w="11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App</w:t>
            </w:r>
          </w:p>
        </w:tc>
        <w:tc>
          <w:tcPr>
            <w:tcW w:w="22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SIGSTOP-only L0 RMSE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NetPoke-on L0 RMSE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Change (NetPoke vs SIGSTOP-only)</w:t>
            </w:r>
          </w:p>
        </w:tc>
      </w:tr>
      <w:tr>
        <w:tc>
          <w:tcPr>
            <w:tcW w:w="11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2.57%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9.13%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color w:val="C00000"/>
              </w:rPr>
              <w:t xml:space="preserve">+6.56pp — worse</w:t>
            </w:r>
          </w:p>
        </w:tc>
      </w:tr>
      <w:tr>
        <w:tc>
          <w:tcPr>
            <w:tcW w:w="11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20.65%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14.13%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color w:val="375623"/>
              </w:rPr>
              <w:t xml:space="preserve">−6.52pp — better</w:t>
            </w:r>
          </w:p>
        </w:tc>
      </w:tr>
      <w:tr>
        <w:tc>
          <w:tcPr>
            <w:tcW w:w="11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14.01%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17.35%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color w:val="C00000"/>
              </w:rPr>
              <w:t xml:space="preserve">+3.34pp — worse, mild</w:t>
            </w:r>
          </w:p>
        </w:tc>
      </w:tr>
      <w:tr>
        <w:tc>
          <w:tcPr>
            <w:tcW w:w="11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2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12.21%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12.13%</w:t>
            </w:r>
          </w:p>
        </w:tc>
        <w:tc>
          <w:tcPr>
            <w:tcW w:w="14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−0.08pp — flat</w:t>
            </w:r>
          </w:p>
        </w:tc>
      </w:tr>
    </w:tbl>
    <w:p>
      <w:pPr>
        <w:pStyle w:val="Normal"/>
      </w:pPr>
    </w:p>
    <w:p>
      <w:pPr>
        <w:pStyle w:val="Note"/>
      </w:pPr>
      <w:r>
        <w:t xml:space="preserve">Boutique's regression is not L2-specific: +6.56pp at L0 matches +6.73pp at L2 (Table N2) — a two-measurement-consistent finding. Movie is the cleanest case: flat at L0 (−0.08pp, within noise), largest recoverer at L2. Social shows a small constant overhead (+3.34pp) overwhelmed by a large L2 benefit (−14.92pp). Hotel's improvement at L0 is within its documented run-to-run volatility range.</w:t>
      </w:r>
    </w:p>
    <w:p>
      <w:r>
        <w:br w:type="page"/>
      </w:r>
    </w:p>
    <w:p>
      <w:pPr>
        <w:pStyle w:val="Heading1"/>
      </w:pPr>
      <w:r>
        <w:t xml:space="preserve">Boutique Fan-out Finding - Source-Level Analysis</w:t>
      </w:r>
    </w:p>
    <w:p>
      <w:pPr>
        <w:pStyle w:val="Caption"/>
      </w:pPr>
      <w:r>
        <w:t xml:space="preserve">Why does boutique show no I/O-gap signal and regress under NetPoke-on?</w:t>
      </w:r>
    </w:p>
    <w:p>
      <w:pPr>
        <w:pStyle w:val="Note"/>
      </w:pPr>
      <w:r>
        <w:t xml:space="preserve">Static code inspection of each app's causal target handler. Not a hypothesis — directly readable from source.</w:t>
      </w:r>
    </w:p>
    <w:p>
      <w:pPr>
        <w:pStyle w:val="Normal"/>
      </w:pPr>
    </w:p>
    <w:tbl>
      <w:tblPr>
        <w:tblStyle w:val="TableGrid"/>
        <w:tblW w:w="0" w:type="auto"/>
        <w:tblBorders>
          <w:insideH w:val="single" w:sz="4" w:color="9E9E9E"/>
          <w:insideV w:val="single" w:sz="4" w:color="9E9E9E"/>
        </w:tblBorders>
        <w:tblLook w:val="04A0"/>
      </w:tblPr>
      <w:tr>
        <w:trPr>
          <w:tblHeader/>
        </w:trPr>
        <w:tc>
          <w:tcPr>
            <w:tcW w:w="11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  <w:color w:val="900"/>
              </w:rPr>
              <w:t xml:space="preserve">App</w:t>
            </w:r>
          </w:p>
        </w:tc>
        <w:tc>
          <w:tcPr>
            <w:tcW w:w="22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  <w:color w:val="1200"/>
              </w:rPr>
              <w:t xml:space="preserve">Target (-x)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  <w:color w:val="1800"/>
              </w:rPr>
              <w:t xml:space="preserve">Handler</w:t>
            </w:r>
          </w:p>
        </w:tc>
        <w:tc>
          <w:tcPr>
            <w:tcW w:w="14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  <w:color w:val="2500"/>
              </w:rPr>
              <w:t xml:space="preserve">Synchronous network calls in live path</w:t>
            </w:r>
          </w:p>
        </w:tc>
      </w:tr>
      <w:tr>
        <w:tc>
          <w:tcPr>
            <w:tcW w:w="9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1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cart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GetCart / AddItem / EmptyCart</w:t>
            </w:r>
          </w:p>
        </w:tc>
        <w:tc>
          <w:tcPr>
            <w:tcW w:w="25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None. Reads/writes an in-process sync.Map (local_carts). Redis client and state.GetState exist in the file but are commented out — dead code, not on the request path.</w:t>
            </w:r>
          </w:p>
        </w:tc>
      </w:tr>
      <w:tr>
        <w:tc>
          <w:tcPr>
            <w:tcW w:w="9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1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profile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GetProfiles</w:t>
            </w:r>
          </w:p>
        </w:tc>
        <w:tc>
          <w:tcPr>
            <w:tcW w:w="25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slowpoke.GetBulkStateDefault — a Dapr state-store round-trip (Redis-backed).</w:t>
            </w:r>
          </w:p>
        </w:tc>
      </w:tr>
      <w:tr>
        <w:tc>
          <w:tcPr>
            <w:tcW w:w="9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1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moviereviews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ReadMovieReviews</w:t>
            </w:r>
          </w:p>
        </w:tc>
        <w:tc>
          <w:tcPr>
            <w:tcW w:w="25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slowpoke.GetState (Dapr state store) AND slowpoke.Invoke(ctx, reviewstorage, ro_read_reviews) — explicit HTTP call to another service.</w:t>
            </w:r>
          </w:p>
        </w:tc>
      </w:tr>
      <w:tr>
        <w:tc>
          <w:tcPr>
            <w:tcW w:w="9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12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hometimeline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ReadHomeTimeline</w:t>
            </w:r>
          </w:p>
        </w:tc>
        <w:tc>
          <w:tcPr>
            <w:tcW w:w="25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slowpoke.GetState (Dapr state store) AND slowpoke.Invoke(ctx, poststorage, ro_read_posts) — explicit HTTP call to another service.</w:t>
            </w:r>
          </w:p>
        </w:tc>
      </w:tr>
    </w:tbl>
    <w:p>
      <w:pPr>
        <w:pStyle w:val="Normal"/>
      </w:pPr>
    </w:p>
    <w:p>
      <w:pPr>
        <w:pStyle w:val="Note"/>
      </w:pPr>
      <w:r>
        <w:t xml:space="preserve">Boutique's cart target performs zero synchronous network I/O. There is no downstream call and no state-store round-trip for kernel buffering to intercept during a pause window. This explains: (1) no I/O-gap RMSE signal in Table I1; (2) flat residual-I/O measurement at both L0 and L2; (3) Table N2's RMSE regression — the egress hold's cost (netlink toggling, tc state changes on every SIGSTOP/SIGCONT) has nothing to offset it.</w:t>
      </w:r>
    </w:p>
    <w:p>
      <w:r>
        <w:br w:type="page"/>
      </w:r>
    </w:p>
    <w:p>
      <w:pPr>
        <w:pStyle w:val="Heading1"/>
      </w:pPr>
      <w:r>
        <w:t xml:space="preserve">Cross-Table Summary - All Apps, All Phases</w:t>
      </w:r>
    </w:p>
    <w:p>
      <w:pPr>
        <w:pStyle w:val="Caption"/>
      </w:pPr>
      <w:r>
        <w:t xml:space="preserve">Consolidated view: L0 baseline → L2 SIGSTOP-only → L2 NetPoke-on, with net change from baseline.</w:t>
      </w:r>
    </w:p>
    <w:p>
      <w:pPr>
        <w:pStyle w:val="Normal"/>
      </w:pPr>
    </w:p>
    <w:tbl>
      <w:tblPr>
        <w:tblStyle w:val="TableGrid"/>
        <w:tblW w:w="0" w:type="auto"/>
        <w:tblBorders>
          <w:insideH w:val="single" w:sz="4" w:color="9E9E9E"/>
          <w:insideV w:val="single" w:sz="4" w:color="9E9E9E"/>
        </w:tblBorders>
        <w:tblLook w:val="04A0"/>
      </w:tblPr>
      <w:tr>
        <w:trPr>
          <w:tblHeader/>
        </w:trPr>
        <w:tc>
          <w:tcPr>
            <w:tcW w:w="9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App</w:t>
            </w:r>
          </w:p>
        </w:tc>
        <w:tc>
          <w:tcPr>
            <w:tcW w:w="18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L0 RMSE</w:t>
            </w:r>
          </w:p>
        </w:tc>
        <w:tc>
          <w:tcPr>
            <w:tcW w:w="13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L2 SIGSTOP-only</w:t>
            </w:r>
          </w:p>
        </w:tc>
        <w:tc>
          <w:tcPr>
            <w:tcW w:w="13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L2 NetPoke-on</w:t>
            </w:r>
          </w:p>
        </w:tc>
        <w:tc>
          <w:tcPr>
            <w:tcW w:w="13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vs L0 baseline</w:t>
            </w:r>
          </w:p>
        </w:tc>
        <w:tc>
          <w:tcPr>
            <w:tcW w:w="1300" w:type="dxa"/>
            <w:shd w:val="clear" w:color="auto" w:fill="D9E1F2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rPr>
                <w:b/>
              </w:rPr>
              <w:t xml:space="preserve">Gap closed?</w:t>
            </w:r>
          </w:p>
        </w:tc>
      </w:tr>
      <w:tr>
        <w:tc>
          <w:tcPr>
            <w:tcW w:w="9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Social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14.01%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33.61% (+19.60pp)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18.69% (+4.68pp)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−14.92pp vs SIGSTOP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76% recovered</w:t>
            </w:r>
          </w:p>
        </w:tc>
      </w:tr>
      <w:tr>
        <w:tc>
          <w:tcPr>
            <w:tcW w:w="9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Movie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12.21%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13.84% (+1.63pp)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10.23% (−1.98pp)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−3.61pp vs SIGSTOP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Below baseline</w:t>
            </w:r>
          </w:p>
        </w:tc>
      </w:tr>
      <w:tr>
        <w:tc>
          <w:tcPr>
            <w:tcW w:w="9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Hotel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20.65%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17.51% (−3.14pp)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10.25% (−10.40pp)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−7.26pp vs SIGSTOP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Improved (volatile)</w:t>
            </w:r>
          </w:p>
        </w:tc>
      </w:tr>
      <w:tr>
        <w:tc>
          <w:tcPr>
            <w:tcW w:w="9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Boutique</w:t>
            </w:r>
          </w:p>
        </w:tc>
        <w:tc>
          <w:tcPr>
            <w:tcW w:w="18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2.57%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3.53% (+0.96pp)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10.26% (+7.69pp)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regression</w:t>
            </w:r>
          </w:p>
        </w:tc>
        <w:tc>
          <w:tcPr>
            <w:tcW w:w="1300" w:type="dxa"/>
            <w:tcBorders>
              <w:top w:val="single" w:sz="4" w:color="9E9E9E"/>
              <w:left w:val="single" w:sz="4" w:color="9E9E9E"/>
              <w:bottom w:val="single" w:sz="4" w:color="9E9E9E"/>
              <w:right w:val="single" w:sz="4" w:color="9E9E9E"/>
            </w:tcBorders>
          </w:tcPr>
          <w:p>
            <w:pPr>
              <w:pStyle w:val="TableGrid"/>
            </w:pPr>
            <w:r>
              <w:t xml:space="preserve">No gap to close</w:t>
            </w:r>
          </w:p>
        </w:tc>
      </w:tr>
    </w:tbl>
    <w:p>
      <w:pPr>
        <w:pStyle w:val="Normal"/>
      </w:pPr>
    </w:p>
    <w:p>
      <w:pPr>
        <w:pStyle w:val="Note"/>
      </w:pPr>
      <w:r>
        <w:t xml:space="preserve">Data quality: all measurements are single-run on a shared departmental cluster. Treat magnitudes as directional. Hotel's numbers are the most volatile across re-runs; social's are the most stable and constitute the primary evidence for the I/O-gap hypothesis and NetPoke's effectiveness.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0"/>
      <w:szCs w:val="20"/>
    </w:rPr>
  </w:style>
  <w:style w:type="paragraph" w:styleId="Heading1">
    <w:name w:val="heading 1"/>
    <w:pPr>
      <w:outlineLvl w:val="0"/>
    </w:pPr>
    <w:rPr>
      <w:b/>
      <w:sz w:val="28"/>
      <w:szCs w:val="28"/>
    </w:rPr>
  </w:style>
  <w:style w:type="paragraph" w:styleId="Heading2">
    <w:name w:val="heading 2"/>
    <w:pPr>
      <w:outlineLvl w:val="1"/>
    </w:pPr>
    <w:rPr>
      <w:b/>
      <w:sz w:val="24"/>
      <w:szCs w:val="24"/>
    </w:rPr>
  </w:style>
  <w:style w:type="paragraph" w:styleId="TableGrid">
    <w:name w:val="Table Grid"/>
    <w:rPr>
      <w:sz w:val="18"/>
      <w:szCs w:val="18"/>
    </w:rPr>
  </w:style>
  <w:style w:type="paragraph" w:styleId="Caption">
    <w:name w:val="caption"/>
    <w:rPr>
      <w:i/>
      <w:sz w:val="18"/>
      <w:szCs w:val="18"/>
    </w:rPr>
  </w:style>
  <w:style w:type="paragraph" w:styleId="Note">
    <w:name w:val="Note"/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