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INTEGRICODE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Realización de Caso de Uso: Generar reporte de similitud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20" w:line="240" w:lineRule="auto"/>
        <w:ind w:left="72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keepNext w:val="0"/>
        <w:keepLines w:val="0"/>
        <w:widowControl w:val="0"/>
        <w:spacing w:after="0" w:line="240" w:lineRule="auto"/>
        <w:jc w:val="center"/>
        <w:rPr/>
      </w:pPr>
      <w:bookmarkStart w:colFirst="0" w:colLast="0" w:name="_5mz7bdg8jkjv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Realización de Caso de Uso: Generar Reporte de Similitud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b w:val="1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Propósito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Especificar el diseño del caso de uso de Generar reporte de Similitud, correspondiente al proyecto.</w:t>
      </w:r>
    </w:p>
    <w:p w:rsidR="00000000" w:rsidDel="00000000" w:rsidP="00000000" w:rsidRDefault="00000000" w:rsidRPr="00000000" w14:paraId="00000033">
      <w:pPr>
        <w:widowControl w:val="0"/>
        <w:spacing w:after="120" w:line="240" w:lineRule="auto"/>
        <w:ind w:left="72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b w:val="1"/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Alcance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alcance de este documento cubre el caso de uso de Generar Reporte de Similitud perteneciente al proyecto.</w:t>
      </w:r>
    </w:p>
    <w:p w:rsidR="00000000" w:rsidDel="00000000" w:rsidP="00000000" w:rsidRDefault="00000000" w:rsidRPr="00000000" w14:paraId="00000036">
      <w:pPr>
        <w:widowControl w:val="0"/>
        <w:spacing w:after="120" w:line="240" w:lineRule="auto"/>
        <w:ind w:left="72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b w:val="1"/>
          <w:sz w:val="20"/>
          <w:szCs w:val="20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UML: Lenguaje de Modelado Unificado.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DataAccess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b w:val="1"/>
          <w:sz w:val="20"/>
          <w:szCs w:val="20"/>
        </w:rPr>
      </w:pPr>
      <w:bookmarkStart w:colFirst="0" w:colLast="0" w:name="_yloy7nl790gi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Referencias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Ninguna.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rPr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Diseño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b w:val="1"/>
          <w:sz w:val="20"/>
          <w:szCs w:val="20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20"/>
          <w:szCs w:val="20"/>
          <w:rtl w:val="0"/>
        </w:rPr>
        <w:t xml:space="preserve">Diagramas de secuencia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Flujo básico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595813" cy="359860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598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2.2. </w:t>
        <w:tab/>
        <w:t xml:space="preserve">Flujo alternativo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2.2.1. </w:t>
        <w:tab/>
        <w:t xml:space="preserve">No se selecciona algoritmo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100638" cy="361789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617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2.2. </w:t>
      </w:r>
      <w:r w:rsidDel="00000000" w:rsidR="00000000" w:rsidRPr="00000000">
        <w:rPr>
          <w:b w:val="1"/>
          <w:sz w:val="20"/>
          <w:szCs w:val="20"/>
          <w:rtl w:val="0"/>
        </w:rPr>
        <w:t xml:space="preserve">Modelo de datos</w:t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325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2.3. </w:t>
      </w:r>
      <w:r w:rsidDel="00000000" w:rsidR="00000000" w:rsidRPr="00000000">
        <w:rPr>
          <w:b w:val="1"/>
          <w:sz w:val="20"/>
          <w:szCs w:val="20"/>
          <w:rtl w:val="0"/>
        </w:rPr>
        <w:t xml:space="preserve">Pantallas/Mockups</w:t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2.3.1 Pantalla de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2.3.2 Pantalla para poder generar el reporte de similitud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6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widowControl w:val="0"/>
      <w:spacing w:line="276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INTEGRICODE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9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Realización de Caso de Uso: Generar Reporte de Similitud</w:t>
          </w:r>
        </w:p>
      </w:tc>
    </w:tr>
  </w:tbl>
  <w:p w:rsidR="00000000" w:rsidDel="00000000" w:rsidP="00000000" w:rsidRDefault="00000000" w:rsidRPr="00000000" w14:paraId="0000006A">
    <w:pPr>
      <w:widowControl w:val="0"/>
      <w:tabs>
        <w:tab w:val="center" w:leader="none" w:pos="4320"/>
        <w:tab w:val="right" w:leader="none" w:pos="8640"/>
      </w:tabs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widowControl w:val="0"/>
      <w:pBdr>
        <w:top w:color="000000" w:space="1" w:sz="6" w:val="single"/>
      </w:pBd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widowControl w:val="0"/>
      <w:pBdr>
        <w:bottom w:color="000000" w:space="1" w:sz="6" w:val="single"/>
      </w:pBdr>
      <w:spacing w:line="240" w:lineRule="auto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ULASALLE</w:t>
    </w:r>
  </w:p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