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center"/>
        <w:rPr/>
      </w:pPr>
      <w:bookmarkStart w:colFirst="0" w:colLast="0" w:name="_5mz7bdg8jkj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Especificar el diseño del caso de uso de Generar reporte de Similitud, correspondiente al proyecto.</w:t>
      </w:r>
    </w:p>
    <w:p w:rsidR="00000000" w:rsidDel="00000000" w:rsidP="00000000" w:rsidRDefault="00000000" w:rsidRPr="00000000" w14:paraId="00000033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Alcance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alcance de este documento cubre el caso de uso de Generar Reporte de Similitud perteneciente al proyecto.</w:t>
      </w:r>
    </w:p>
    <w:p w:rsidR="00000000" w:rsidDel="00000000" w:rsidP="00000000" w:rsidRDefault="00000000" w:rsidRPr="00000000" w14:paraId="00000036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DataAccess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yloy7nl790gi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Referencias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Diagramas de secuencia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normal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2.2.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datos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2.3.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Pantallas/Mockups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2.3.1 Pantalla de actividad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22389</wp:posOffset>
            </wp:positionH>
            <wp:positionV relativeFrom="paragraph">
              <wp:posOffset>133350</wp:posOffset>
            </wp:positionV>
            <wp:extent cx="5686425" cy="3162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830" t="125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2.3.2 Pantalla para poder generar el reporte de similitud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289513</wp:posOffset>
            </wp:positionV>
            <wp:extent cx="5731200" cy="32131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Realización de Caso de Uso: Generar Reporte de Similitud</w:t>
          </w:r>
        </w:p>
      </w:tc>
    </w:tr>
  </w:tbl>
  <w:p w:rsidR="00000000" w:rsidDel="00000000" w:rsidP="00000000" w:rsidRDefault="00000000" w:rsidRPr="00000000" w14:paraId="00000084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widowControl w:val="0"/>
      <w:pBdr>
        <w:bottom w:color="000000" w:space="1" w:sz="6" w:val="single"/>
      </w:pBdr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