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B8943A"/>
          <w:sz w:val="18"/>
        </w:rPr>
        <w:t>FIBRA HOTEL CORPORATIVO  ·  ÁREA DE ARRENDAMIENTO</w:t>
      </w:r>
    </w:p>
    <w:p>
      <w:pPr>
        <w:jc w:val="center"/>
      </w:pPr>
      <w:r>
        <w:rPr>
          <w:b/>
          <w:color w:val="0C2340"/>
          <w:sz w:val="40"/>
        </w:rPr>
        <w:t>INFORME DE AVANCE — SEGUNDO TRIMESTRE 2026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0C2340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Analista: Gerardo Vega Quinto</w:t>
            </w:r>
          </w:p>
        </w:tc>
        <w:tc>
          <w:tcPr>
            <w:tcW w:type="dxa" w:w="3135"/>
            <w:shd w:val="clear" w:color="auto" w:fill="0C2340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Período: 2Q 2026</w:t>
            </w:r>
          </w:p>
        </w:tc>
        <w:tc>
          <w:tcPr>
            <w:tcW w:type="dxa" w:w="3135"/>
            <w:shd w:val="clear" w:color="auto" w:fill="0C2340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Fecha: 25 de mayo de 2026</w:t>
            </w:r>
          </w:p>
        </w:tc>
      </w:tr>
    </w:tbl>
    <w:p/>
    <w:p>
      <w:r>
        <w:rPr>
          <w:b/>
          <w:color w:val="0C2340"/>
          <w:sz w:val="26"/>
        </w:rPr>
        <w:t>OBJETIVO 1 — COLOCACIÓN DE NUEVOS ARRENDATARIOS</w:t>
      </w:r>
    </w:p>
    <w:p>
      <w:r>
        <w:rPr>
          <w:color w:val="7A92A8"/>
          <w:sz w:val="20"/>
        </w:rPr>
        <w:t>Ponderación: 50%  ·  Meta trimestral: 222 m²  ·  Meta anual: 888 m² / $2,000,000</w:t>
      </w:r>
    </w:p>
    <w:p>
      <w:pPr>
        <w:jc w:val="both"/>
      </w:pPr>
      <w:r>
        <w:t>Se tienen dos negociaciones formalmente cerradas, con contratos en proceso de elaboración al cierre del 2Q, que en conjunto representan el 155% de la meta trimestral de superficie (344 m² vs 222 m²).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val="clear" w:color="auto" w:fill="0C2340"/>
          </w:tcPr>
          <w:p>
            <w:r>
              <w:rPr>
                <w:b/>
                <w:color w:val="FFFFFF"/>
                <w:sz w:val="20"/>
              </w:rPr>
              <w:t>Concepto</w:t>
            </w:r>
          </w:p>
        </w:tc>
        <w:tc>
          <w:tcPr>
            <w:tcW w:type="dxa" w:w="2351"/>
            <w:shd w:val="clear" w:color="auto" w:fill="0C2340"/>
          </w:tcPr>
          <w:p>
            <w:r>
              <w:rPr>
                <w:b/>
                <w:color w:val="FFFFFF"/>
                <w:sz w:val="20"/>
              </w:rPr>
              <w:t>Farmacias Similares</w:t>
            </w:r>
          </w:p>
        </w:tc>
        <w:tc>
          <w:tcPr>
            <w:tcW w:type="dxa" w:w="2351"/>
            <w:shd w:val="clear" w:color="auto" w:fill="0C2340"/>
          </w:tcPr>
          <w:p>
            <w:r>
              <w:rPr>
                <w:b/>
                <w:color w:val="FFFFFF"/>
                <w:sz w:val="20"/>
              </w:rPr>
              <w:t>Gloria JH</w:t>
            </w:r>
          </w:p>
        </w:tc>
        <w:tc>
          <w:tcPr>
            <w:tcW w:type="dxa" w:w="2351"/>
            <w:shd w:val="clear" w:color="auto" w:fill="0C2340"/>
          </w:tcPr>
          <w:p>
            <w:r>
              <w:rPr>
                <w:b/>
                <w:color w:val="FFFFFF"/>
                <w:sz w:val="20"/>
              </w:rPr>
              <w:t>Total 2Q</w:t>
            </w:r>
          </w:p>
        </w:tc>
      </w:tr>
      <w:tr>
        <w:tc>
          <w:tcPr>
            <w:tcW w:type="dxa" w:w="2351"/>
            <w:shd w:val="clear" w:color="auto" w:fill="FFFFFF"/>
          </w:tcPr>
          <w:p>
            <w:r>
              <w:rPr>
                <w:b/>
                <w:sz w:val="20"/>
              </w:rPr>
              <w:t>Propiedad</w:t>
            </w:r>
          </w:p>
        </w:tc>
        <w:tc>
          <w:tcPr>
            <w:tcW w:type="dxa" w:w="2351"/>
            <w:shd w:val="clear" w:color="auto" w:fill="FFFFFF"/>
          </w:tcPr>
          <w:p>
            <w:r>
              <w:rPr>
                <w:b w:val="0"/>
                <w:sz w:val="20"/>
              </w:rPr>
              <w:t>Local #2, One Acapulco</w:t>
            </w:r>
          </w:p>
        </w:tc>
        <w:tc>
          <w:tcPr>
            <w:tcW w:type="dxa" w:w="2351"/>
            <w:shd w:val="clear" w:color="auto" w:fill="FFFFFF"/>
          </w:tcPr>
          <w:p>
            <w:r>
              <w:rPr>
                <w:b w:val="0"/>
                <w:sz w:val="20"/>
              </w:rPr>
              <w:t>Plaza One Monterrey</w:t>
            </w:r>
          </w:p>
        </w:tc>
        <w:tc>
          <w:tcPr>
            <w:tcW w:type="dxa" w:w="2351"/>
            <w:shd w:val="clear" w:color="auto" w:fill="FFFFFF"/>
          </w:tcPr>
          <w:p>
            <w:r>
              <w:rPr>
                <w:b w:val="0"/>
                <w:sz w:val="20"/>
              </w:rPr>
              <w:t>—</w:t>
            </w:r>
          </w:p>
        </w:tc>
      </w:tr>
      <w:tr>
        <w:tc>
          <w:tcPr>
            <w:tcW w:type="dxa" w:w="2351"/>
            <w:shd w:val="clear" w:color="auto" w:fill="EBF0F6"/>
          </w:tcPr>
          <w:p>
            <w:r>
              <w:rPr>
                <w:b/>
                <w:sz w:val="20"/>
              </w:rPr>
              <w:t>Superficie</w:t>
            </w:r>
          </w:p>
        </w:tc>
        <w:tc>
          <w:tcPr>
            <w:tcW w:type="dxa" w:w="2351"/>
            <w:shd w:val="clear" w:color="auto" w:fill="EBF0F6"/>
          </w:tcPr>
          <w:p>
            <w:r>
              <w:rPr>
                <w:b w:val="0"/>
                <w:sz w:val="20"/>
              </w:rPr>
              <w:t>251 m²</w:t>
            </w:r>
          </w:p>
        </w:tc>
        <w:tc>
          <w:tcPr>
            <w:tcW w:type="dxa" w:w="2351"/>
            <w:shd w:val="clear" w:color="auto" w:fill="EBF0F6"/>
          </w:tcPr>
          <w:p>
            <w:r>
              <w:rPr>
                <w:b w:val="0"/>
                <w:sz w:val="20"/>
              </w:rPr>
              <w:t>93 m²</w:t>
            </w:r>
          </w:p>
        </w:tc>
        <w:tc>
          <w:tcPr>
            <w:tcW w:type="dxa" w:w="2351"/>
            <w:shd w:val="clear" w:color="auto" w:fill="EBF0F6"/>
          </w:tcPr>
          <w:p>
            <w:r>
              <w:rPr>
                <w:b w:val="0"/>
                <w:sz w:val="20"/>
              </w:rPr>
              <w:t>344 m²</w:t>
            </w:r>
          </w:p>
        </w:tc>
      </w:tr>
      <w:tr>
        <w:tc>
          <w:tcPr>
            <w:tcW w:type="dxa" w:w="2351"/>
            <w:shd w:val="clear" w:color="auto" w:fill="FFFFFF"/>
          </w:tcPr>
          <w:p>
            <w:r>
              <w:rPr>
                <w:b/>
                <w:sz w:val="20"/>
              </w:rPr>
              <w:t>Renta mensual</w:t>
            </w:r>
          </w:p>
        </w:tc>
        <w:tc>
          <w:tcPr>
            <w:tcW w:type="dxa" w:w="2351"/>
            <w:shd w:val="clear" w:color="auto" w:fill="FFFFFF"/>
          </w:tcPr>
          <w:p>
            <w:r>
              <w:rPr>
                <w:b w:val="0"/>
                <w:sz w:val="20"/>
              </w:rPr>
              <w:t>$62,750</w:t>
            </w:r>
          </w:p>
        </w:tc>
        <w:tc>
          <w:tcPr>
            <w:tcW w:type="dxa" w:w="2351"/>
            <w:shd w:val="clear" w:color="auto" w:fill="FFFFFF"/>
          </w:tcPr>
          <w:p>
            <w:r>
              <w:rPr>
                <w:b w:val="0"/>
                <w:sz w:val="20"/>
              </w:rPr>
              <w:t>$25,000</w:t>
            </w:r>
          </w:p>
        </w:tc>
        <w:tc>
          <w:tcPr>
            <w:tcW w:type="dxa" w:w="2351"/>
            <w:shd w:val="clear" w:color="auto" w:fill="FFFFFF"/>
          </w:tcPr>
          <w:p>
            <w:r>
              <w:rPr>
                <w:b w:val="0"/>
                <w:sz w:val="20"/>
              </w:rPr>
              <w:t>$87,750</w:t>
            </w:r>
          </w:p>
        </w:tc>
      </w:tr>
    </w:tbl>
    <w:p/>
    <w:p>
      <w:r>
        <w:rPr>
          <w:b/>
          <w:color w:val="0C2340"/>
          <w:sz w:val="22"/>
        </w:rPr>
        <w:t>Indicadores de Ingreso — 2Q 2026 (base 12 meses)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val="clear" w:color="auto" w:fill="0C2340"/>
          </w:tcPr>
          <w:p>
            <w:r>
              <w:rPr>
                <w:b/>
                <w:color w:val="FFFFFF"/>
                <w:sz w:val="20"/>
              </w:rPr>
              <w:t>Arrendatario</w:t>
            </w:r>
          </w:p>
        </w:tc>
        <w:tc>
          <w:tcPr>
            <w:tcW w:type="dxa" w:w="2351"/>
            <w:shd w:val="clear" w:color="auto" w:fill="0C2340"/>
          </w:tcPr>
          <w:p>
            <w:r>
              <w:rPr>
                <w:b/>
                <w:color w:val="FFFFFF"/>
                <w:sz w:val="20"/>
              </w:rPr>
              <w:t>Ingreso anual</w:t>
            </w:r>
          </w:p>
        </w:tc>
        <w:tc>
          <w:tcPr>
            <w:tcW w:type="dxa" w:w="2351"/>
            <w:shd w:val="clear" w:color="auto" w:fill="0C2340"/>
          </w:tcPr>
          <w:p>
            <w:r>
              <w:rPr>
                <w:b/>
                <w:color w:val="FFFFFF"/>
                <w:sz w:val="20"/>
              </w:rPr>
              <w:t>% Meta anual ($2 mdp)</w:t>
            </w:r>
          </w:p>
        </w:tc>
        <w:tc>
          <w:tcPr>
            <w:tcW w:type="dxa" w:w="2351"/>
            <w:shd w:val="clear" w:color="auto" w:fill="0C2340"/>
          </w:tcPr>
          <w:p>
            <w:r>
              <w:rPr>
                <w:b/>
                <w:color w:val="FFFFFF"/>
                <w:sz w:val="20"/>
              </w:rPr>
              <w:t>% Meta 2Q ($500K)</w:t>
            </w:r>
          </w:p>
        </w:tc>
      </w:tr>
      <w:tr>
        <w:tc>
          <w:tcPr>
            <w:tcW w:type="dxa" w:w="2351"/>
            <w:shd w:val="clear" w:color="auto" w:fill="FFFFFF"/>
          </w:tcPr>
          <w:p>
            <w:r>
              <w:rPr>
                <w:b w:val="0"/>
                <w:sz w:val="20"/>
              </w:rPr>
              <w:t>Farmacias Similares</w:t>
            </w:r>
          </w:p>
        </w:tc>
        <w:tc>
          <w:tcPr>
            <w:tcW w:type="dxa" w:w="2351"/>
            <w:shd w:val="clear" w:color="auto" w:fill="FFFFFF"/>
          </w:tcPr>
          <w:p>
            <w:r>
              <w:rPr>
                <w:b w:val="0"/>
                <w:sz w:val="20"/>
              </w:rPr>
              <w:t>$753,000</w:t>
            </w:r>
          </w:p>
        </w:tc>
        <w:tc>
          <w:tcPr>
            <w:tcW w:type="dxa" w:w="2351"/>
            <w:shd w:val="clear" w:color="auto" w:fill="FFFFFF"/>
          </w:tcPr>
          <w:p>
            <w:r>
              <w:rPr>
                <w:b w:val="0"/>
                <w:sz w:val="20"/>
              </w:rPr>
              <w:t>37.7%</w:t>
            </w:r>
          </w:p>
        </w:tc>
        <w:tc>
          <w:tcPr>
            <w:tcW w:type="dxa" w:w="2351"/>
            <w:shd w:val="clear" w:color="auto" w:fill="FFFFFF"/>
          </w:tcPr>
          <w:p>
            <w:r>
              <w:rPr>
                <w:b w:val="0"/>
                <w:sz w:val="20"/>
              </w:rPr>
              <w:t>150.6%</w:t>
            </w:r>
          </w:p>
        </w:tc>
      </w:tr>
      <w:tr>
        <w:tc>
          <w:tcPr>
            <w:tcW w:type="dxa" w:w="2351"/>
            <w:shd w:val="clear" w:color="auto" w:fill="EBF0F6"/>
          </w:tcPr>
          <w:p>
            <w:r>
              <w:rPr>
                <w:b w:val="0"/>
                <w:sz w:val="20"/>
              </w:rPr>
              <w:t>Gloria JH</w:t>
            </w:r>
          </w:p>
        </w:tc>
        <w:tc>
          <w:tcPr>
            <w:tcW w:type="dxa" w:w="2351"/>
            <w:shd w:val="clear" w:color="auto" w:fill="EBF0F6"/>
          </w:tcPr>
          <w:p>
            <w:r>
              <w:rPr>
                <w:b w:val="0"/>
                <w:sz w:val="20"/>
              </w:rPr>
              <w:t>$300,000</w:t>
            </w:r>
          </w:p>
        </w:tc>
        <w:tc>
          <w:tcPr>
            <w:tcW w:type="dxa" w:w="2351"/>
            <w:shd w:val="clear" w:color="auto" w:fill="EBF0F6"/>
          </w:tcPr>
          <w:p>
            <w:r>
              <w:rPr>
                <w:b w:val="0"/>
                <w:sz w:val="20"/>
              </w:rPr>
              <w:t>15.0%</w:t>
            </w:r>
          </w:p>
        </w:tc>
        <w:tc>
          <w:tcPr>
            <w:tcW w:type="dxa" w:w="2351"/>
            <w:shd w:val="clear" w:color="auto" w:fill="EBF0F6"/>
          </w:tcPr>
          <w:p>
            <w:r>
              <w:rPr>
                <w:b w:val="0"/>
                <w:sz w:val="20"/>
              </w:rPr>
              <w:t>60.0%</w:t>
            </w:r>
          </w:p>
        </w:tc>
      </w:tr>
      <w:tr>
        <w:tc>
          <w:tcPr>
            <w:tcW w:type="dxa" w:w="2351"/>
            <w:shd w:val="clear" w:color="auto" w:fill="1A3A5C"/>
          </w:tcPr>
          <w:p>
            <w:r>
              <w:rPr>
                <w:b/>
                <w:color w:val="FFFFFF"/>
                <w:sz w:val="20"/>
              </w:rPr>
              <w:t>Total 2Q</w:t>
            </w:r>
          </w:p>
        </w:tc>
        <w:tc>
          <w:tcPr>
            <w:tcW w:type="dxa" w:w="2351"/>
            <w:shd w:val="clear" w:color="auto" w:fill="1A3A5C"/>
          </w:tcPr>
          <w:p>
            <w:r>
              <w:rPr>
                <w:b/>
                <w:color w:val="FFFFFF"/>
                <w:sz w:val="20"/>
              </w:rPr>
              <w:t>$1,053,000</w:t>
            </w:r>
          </w:p>
        </w:tc>
        <w:tc>
          <w:tcPr>
            <w:tcW w:type="dxa" w:w="2351"/>
            <w:shd w:val="clear" w:color="auto" w:fill="1A3A5C"/>
          </w:tcPr>
          <w:p>
            <w:r>
              <w:rPr>
                <w:b/>
                <w:color w:val="FFFFFF"/>
                <w:sz w:val="20"/>
              </w:rPr>
              <w:t>52.6%</w:t>
            </w:r>
          </w:p>
        </w:tc>
        <w:tc>
          <w:tcPr>
            <w:tcW w:type="dxa" w:w="2351"/>
            <w:shd w:val="clear" w:color="auto" w:fill="1A3A5C"/>
          </w:tcPr>
          <w:p>
            <w:r>
              <w:rPr>
                <w:b/>
                <w:color w:val="FFFFFF"/>
                <w:sz w:val="20"/>
              </w:rPr>
              <w:t>210.6%</w:t>
            </w:r>
          </w:p>
        </w:tc>
      </w:tr>
    </w:tbl>
    <w:p/>
    <w:p>
      <w:r>
        <w:rPr>
          <w:b/>
          <w:color w:val="0C2340"/>
          <w:sz w:val="22"/>
        </w:rPr>
        <w:t>Avance Acumulado Q1 + Q2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0C2340"/>
          </w:tcPr>
          <w:p>
            <w:r>
              <w:rPr>
                <w:b/>
                <w:color w:val="FFFFFF"/>
                <w:sz w:val="20"/>
              </w:rPr>
              <w:t>m² totales colocados</w:t>
            </w:r>
          </w:p>
        </w:tc>
        <w:tc>
          <w:tcPr>
            <w:tcW w:type="dxa" w:w="3135"/>
            <w:shd w:val="clear" w:color="auto" w:fill="0C2340"/>
          </w:tcPr>
          <w:p>
            <w:r>
              <w:rPr>
                <w:b/>
                <w:color w:val="FFFFFF"/>
                <w:sz w:val="20"/>
              </w:rPr>
              <w:t>Ingreso anual acumulado</w:t>
            </w:r>
          </w:p>
        </w:tc>
        <w:tc>
          <w:tcPr>
            <w:tcW w:type="dxa" w:w="3135"/>
            <w:shd w:val="clear" w:color="auto" w:fill="0C2340"/>
          </w:tcPr>
          <w:p>
            <w:r>
              <w:rPr>
                <w:b/>
                <w:color w:val="FFFFFF"/>
                <w:sz w:val="20"/>
              </w:rPr>
              <w:t>% de la meta anual</w:t>
            </w:r>
          </w:p>
        </w:tc>
      </w:tr>
      <w:tr>
        <w:tc>
          <w:tcPr>
            <w:tcW w:type="dxa" w:w="3135"/>
            <w:shd w:val="clear" w:color="auto" w:fill="1A3A5C"/>
          </w:tcPr>
          <w:p>
            <w:r>
              <w:rPr>
                <w:b/>
                <w:color w:val="FFFFFF"/>
                <w:sz w:val="22"/>
              </w:rPr>
              <w:t>544 m² (61.3% de 888 m²)</w:t>
            </w:r>
          </w:p>
        </w:tc>
        <w:tc>
          <w:tcPr>
            <w:tcW w:type="dxa" w:w="3135"/>
            <w:shd w:val="clear" w:color="auto" w:fill="1A3A5C"/>
          </w:tcPr>
          <w:p>
            <w:r>
              <w:rPr>
                <w:b/>
                <w:color w:val="FFFFFF"/>
                <w:sz w:val="22"/>
              </w:rPr>
              <w:t>$1,509,000</w:t>
            </w:r>
          </w:p>
        </w:tc>
        <w:tc>
          <w:tcPr>
            <w:tcW w:type="dxa" w:w="3135"/>
            <w:shd w:val="clear" w:color="auto" w:fill="1A3A5C"/>
          </w:tcPr>
          <w:p>
            <w:r>
              <w:rPr>
                <w:b/>
                <w:color w:val="FFFFFF"/>
                <w:sz w:val="22"/>
              </w:rPr>
              <w:t>75.4%</w:t>
            </w:r>
          </w:p>
        </w:tc>
      </w:tr>
    </w:tbl>
    <w:p/>
    <w:p>
      <w:r>
        <w:rPr>
          <w:b/>
          <w:color w:val="0C2340"/>
          <w:sz w:val="26"/>
        </w:rPr>
        <w:t>OBJETIVO 2 — INDEPENDIZACIÓN DE ENERGÉTICOS</w:t>
      </w:r>
    </w:p>
    <w:p>
      <w:r>
        <w:rPr>
          <w:b/>
          <w:color w:val="B8943A"/>
          <w:sz w:val="20"/>
        </w:rPr>
        <w:t>Ponderación: 25%  ·  Diagnóstico global concluido en 2Q  ·  53 arrendatarios analizados</w:t>
      </w:r>
    </w:p>
    <w:p>
      <w:pPr>
        <w:jc w:val="both"/>
      </w:pPr>
      <w:r>
        <w:t>Durante el 2Q se concluyó el diagnóstico global de infraestructura eléctrica e hídrica de los arrendatarios del portafolio. Se analizaron 53 arrendatarios (31 locales y 22 antenas) distribuidos en 29 propiedades, identificando en cada caso el estatus de independización de luz y agua respecto al sistema del hotel. Este diagnóstico constituye el insumo base para la ejecución de las acciones de independización en los trimestres subsecuentes.</w:t>
      </w:r>
    </w:p>
    <w:p>
      <w:r>
        <w:rPr>
          <w:b/>
          <w:color w:val="0C2340"/>
          <w:sz w:val="22"/>
        </w:rPr>
        <w:t>Indicadores del Diagnóstico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0C2340"/>
          </w:tcPr>
          <w:p>
            <w:r>
              <w:rPr>
                <w:b/>
                <w:color w:val="FFFFFF"/>
                <w:sz w:val="20"/>
              </w:rPr>
              <w:t>Categoría</w:t>
            </w:r>
          </w:p>
        </w:tc>
        <w:tc>
          <w:tcPr>
            <w:tcW w:type="dxa" w:w="3135"/>
            <w:shd w:val="clear" w:color="auto" w:fill="0C2340"/>
          </w:tcPr>
          <w:p>
            <w:r>
              <w:rPr>
                <w:b/>
                <w:color w:val="FFFFFF"/>
                <w:sz w:val="20"/>
              </w:rPr>
              <w:t>Independizados</w:t>
            </w:r>
          </w:p>
        </w:tc>
        <w:tc>
          <w:tcPr>
            <w:tcW w:type="dxa" w:w="3135"/>
            <w:shd w:val="clear" w:color="auto" w:fill="0C2340"/>
          </w:tcPr>
          <w:p>
            <w:r>
              <w:rPr>
                <w:b/>
                <w:color w:val="FFFFFF"/>
                <w:sz w:val="20"/>
              </w:rPr>
              <w:t>Dependientes del hotel</w:t>
            </w:r>
          </w:p>
        </w:tc>
      </w:tr>
      <w:tr>
        <w:tc>
          <w:tcPr>
            <w:tcW w:type="dxa" w:w="3135"/>
            <w:shd w:val="clear" w:color="auto" w:fill="FFFFFF"/>
          </w:tcPr>
          <w:p>
            <w:r>
              <w:rPr>
                <w:b w:val="0"/>
                <w:sz w:val="20"/>
              </w:rPr>
              <w:t>Locales comerciales (31 total)</w:t>
            </w:r>
          </w:p>
        </w:tc>
        <w:tc>
          <w:tcPr>
            <w:tcW w:type="dxa" w:w="3135"/>
            <w:shd w:val="clear" w:color="auto" w:fill="FFFFFF"/>
          </w:tcPr>
          <w:p>
            <w:r>
              <w:rPr>
                <w:b w:val="0"/>
                <w:sz w:val="20"/>
              </w:rPr>
              <w:t>13  —  41.9%</w:t>
            </w:r>
          </w:p>
        </w:tc>
        <w:tc>
          <w:tcPr>
            <w:tcW w:type="dxa" w:w="3135"/>
            <w:shd w:val="clear" w:color="auto" w:fill="FFFFFF"/>
          </w:tcPr>
          <w:p>
            <w:r>
              <w:rPr>
                <w:b w:val="0"/>
                <w:sz w:val="20"/>
              </w:rPr>
              <w:t>18  —  58.1%</w:t>
            </w:r>
          </w:p>
        </w:tc>
      </w:tr>
      <w:tr>
        <w:tc>
          <w:tcPr>
            <w:tcW w:type="dxa" w:w="3135"/>
            <w:shd w:val="clear" w:color="auto" w:fill="EBF0F6"/>
          </w:tcPr>
          <w:p>
            <w:r>
              <w:rPr>
                <w:b w:val="0"/>
                <w:sz w:val="20"/>
              </w:rPr>
              <w:t>Antenas (22 total)</w:t>
            </w:r>
          </w:p>
        </w:tc>
        <w:tc>
          <w:tcPr>
            <w:tcW w:type="dxa" w:w="3135"/>
            <w:shd w:val="clear" w:color="auto" w:fill="EBF0F6"/>
          </w:tcPr>
          <w:p>
            <w:r>
              <w:rPr>
                <w:b w:val="0"/>
                <w:sz w:val="20"/>
              </w:rPr>
              <w:t>12  —  54.5%</w:t>
            </w:r>
          </w:p>
        </w:tc>
        <w:tc>
          <w:tcPr>
            <w:tcW w:type="dxa" w:w="3135"/>
            <w:shd w:val="clear" w:color="auto" w:fill="EBF0F6"/>
          </w:tcPr>
          <w:p>
            <w:r>
              <w:rPr>
                <w:b w:val="0"/>
                <w:sz w:val="20"/>
              </w:rPr>
              <w:t>10  —  45.5%</w:t>
            </w:r>
          </w:p>
        </w:tc>
      </w:tr>
      <w:tr>
        <w:tc>
          <w:tcPr>
            <w:tcW w:type="dxa" w:w="3135"/>
            <w:shd w:val="clear" w:color="auto" w:fill="1A3A5C"/>
          </w:tcPr>
          <w:p>
            <w:r>
              <w:rPr>
                <w:b/>
                <w:color w:val="FFFFFF"/>
                <w:sz w:val="20"/>
              </w:rPr>
              <w:t>Total arrendatarios (53)</w:t>
            </w:r>
          </w:p>
        </w:tc>
        <w:tc>
          <w:tcPr>
            <w:tcW w:type="dxa" w:w="3135"/>
            <w:shd w:val="clear" w:color="auto" w:fill="1A3A5C"/>
          </w:tcPr>
          <w:p>
            <w:r>
              <w:rPr>
                <w:b/>
                <w:color w:val="FFFFFF"/>
                <w:sz w:val="20"/>
              </w:rPr>
              <w:t>25  —  47.2%</w:t>
            </w:r>
          </w:p>
        </w:tc>
        <w:tc>
          <w:tcPr>
            <w:tcW w:type="dxa" w:w="3135"/>
            <w:shd w:val="clear" w:color="auto" w:fill="1A3A5C"/>
          </w:tcPr>
          <w:p>
            <w:r>
              <w:rPr>
                <w:b/>
                <w:color w:val="FFFFFF"/>
                <w:sz w:val="20"/>
              </w:rPr>
              <w:t>28  —  52.8%</w:t>
            </w:r>
          </w:p>
        </w:tc>
      </w:tr>
      <w:tr>
        <w:tc>
          <w:tcPr>
            <w:tcW w:type="dxa" w:w="3135"/>
            <w:shd w:val="clear" w:color="auto" w:fill="E6F4EE"/>
          </w:tcPr>
          <w:p>
            <w:r>
              <w:rPr>
                <w:b w:val="0"/>
                <w:sz w:val="20"/>
              </w:rPr>
              <w:t>Diagnóstico global de infraestructura</w:t>
            </w:r>
          </w:p>
        </w:tc>
        <w:tc>
          <w:tcPr>
            <w:tcW w:type="dxa" w:w="3135"/>
            <w:shd w:val="clear" w:color="auto" w:fill="E6F4EE"/>
          </w:tcPr>
          <w:p>
            <w:r>
              <w:rPr>
                <w:b w:val="0"/>
                <w:sz w:val="20"/>
              </w:rPr>
              <w:t>Concluido  ✓</w:t>
            </w:r>
          </w:p>
        </w:tc>
        <w:tc>
          <w:tcPr>
            <w:tcW w:type="dxa" w:w="3135"/>
            <w:shd w:val="clear" w:color="auto" w:fill="E6F4EE"/>
          </w:tcPr>
          <w:p>
            <w:r>
              <w:rPr>
                <w:b w:val="0"/>
                <w:sz w:val="20"/>
              </w:rPr>
              <w:t>—</w:t>
            </w:r>
          </w:p>
        </w:tc>
      </w:tr>
    </w:tbl>
    <w:p/>
    <w:p>
      <w:r>
        <w:rPr>
          <w:b/>
          <w:color w:val="0C2340"/>
          <w:sz w:val="22"/>
        </w:rPr>
        <w:t>Hoteles prioritarios para independización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0C2340"/>
          </w:tcPr>
          <w:p>
            <w:r>
              <w:rPr>
                <w:b/>
                <w:color w:val="FFFFFF"/>
                <w:sz w:val="20"/>
              </w:rPr>
              <w:t>Hotel</w:t>
            </w:r>
          </w:p>
        </w:tc>
        <w:tc>
          <w:tcPr>
            <w:tcW w:type="dxa" w:w="3135"/>
            <w:shd w:val="clear" w:color="auto" w:fill="0C2340"/>
          </w:tcPr>
          <w:p>
            <w:r>
              <w:rPr>
                <w:b/>
                <w:color w:val="FFFFFF"/>
                <w:sz w:val="20"/>
              </w:rPr>
              <w:t>Locales pendientes</w:t>
            </w:r>
          </w:p>
        </w:tc>
        <w:tc>
          <w:tcPr>
            <w:tcW w:type="dxa" w:w="3135"/>
            <w:shd w:val="clear" w:color="auto" w:fill="0C2340"/>
          </w:tcPr>
          <w:p>
            <w:r>
              <w:rPr>
                <w:b/>
                <w:color w:val="FFFFFF"/>
                <w:sz w:val="20"/>
              </w:rPr>
              <w:t>Tipo de dependencia</w:t>
            </w:r>
          </w:p>
        </w:tc>
      </w:tr>
      <w:tr>
        <w:tc>
          <w:tcPr>
            <w:tcW w:type="dxa" w:w="3135"/>
            <w:shd w:val="clear" w:color="auto" w:fill="FFFFFF"/>
          </w:tcPr>
          <w:p>
            <w:r>
              <w:rPr>
                <w:b w:val="0"/>
                <w:sz w:val="20"/>
              </w:rPr>
              <w:t>Wyndham Ambassador Monterrey Centro</w:t>
            </w:r>
          </w:p>
        </w:tc>
        <w:tc>
          <w:tcPr>
            <w:tcW w:type="dxa" w:w="3135"/>
            <w:shd w:val="clear" w:color="auto" w:fill="FFFFFF"/>
          </w:tcPr>
          <w:p>
            <w:r>
              <w:rPr>
                <w:b w:val="0"/>
                <w:sz w:val="20"/>
              </w:rPr>
              <w:t>6 locales</w:t>
            </w:r>
          </w:p>
        </w:tc>
        <w:tc>
          <w:tcPr>
            <w:tcW w:type="dxa" w:w="3135"/>
            <w:shd w:val="clear" w:color="auto" w:fill="FFFFFF"/>
          </w:tcPr>
          <w:p>
            <w:r>
              <w:rPr>
                <w:b w:val="0"/>
                <w:sz w:val="20"/>
              </w:rPr>
              <w:t>Luz y agua</w:t>
            </w:r>
          </w:p>
        </w:tc>
      </w:tr>
      <w:tr>
        <w:tc>
          <w:tcPr>
            <w:tcW w:type="dxa" w:w="3135"/>
            <w:shd w:val="clear" w:color="auto" w:fill="EBF0F6"/>
          </w:tcPr>
          <w:p>
            <w:r>
              <w:rPr>
                <w:b w:val="0"/>
                <w:sz w:val="20"/>
              </w:rPr>
              <w:t>Gamma Tijuana Otay</w:t>
            </w:r>
          </w:p>
        </w:tc>
        <w:tc>
          <w:tcPr>
            <w:tcW w:type="dxa" w:w="3135"/>
            <w:shd w:val="clear" w:color="auto" w:fill="EBF0F6"/>
          </w:tcPr>
          <w:p>
            <w:r>
              <w:rPr>
                <w:b w:val="0"/>
                <w:sz w:val="20"/>
              </w:rPr>
              <w:t>3 locales</w:t>
            </w:r>
          </w:p>
        </w:tc>
        <w:tc>
          <w:tcPr>
            <w:tcW w:type="dxa" w:w="3135"/>
            <w:shd w:val="clear" w:color="auto" w:fill="EBF0F6"/>
          </w:tcPr>
          <w:p>
            <w:r>
              <w:rPr>
                <w:b w:val="0"/>
                <w:sz w:val="20"/>
              </w:rPr>
              <w:t>Luz y agua</w:t>
            </w:r>
          </w:p>
        </w:tc>
      </w:tr>
      <w:tr>
        <w:tc>
          <w:tcPr>
            <w:tcW w:type="dxa" w:w="3135"/>
            <w:shd w:val="clear" w:color="auto" w:fill="FFFFFF"/>
          </w:tcPr>
          <w:p>
            <w:r>
              <w:rPr>
                <w:b w:val="0"/>
                <w:sz w:val="20"/>
              </w:rPr>
              <w:t>Fiesta Americana Condesa Cancún</w:t>
            </w:r>
          </w:p>
        </w:tc>
        <w:tc>
          <w:tcPr>
            <w:tcW w:type="dxa" w:w="3135"/>
            <w:shd w:val="clear" w:color="auto" w:fill="FFFFFF"/>
          </w:tcPr>
          <w:p>
            <w:r>
              <w:rPr>
                <w:b w:val="0"/>
                <w:sz w:val="20"/>
              </w:rPr>
              <w:t>2 locales</w:t>
            </w:r>
          </w:p>
        </w:tc>
        <w:tc>
          <w:tcPr>
            <w:tcW w:type="dxa" w:w="3135"/>
            <w:shd w:val="clear" w:color="auto" w:fill="FFFFFF"/>
          </w:tcPr>
          <w:p>
            <w:r>
              <w:rPr>
                <w:b w:val="0"/>
                <w:sz w:val="20"/>
              </w:rPr>
              <w:t>Luz y agua (acuerdo contractual)</w:t>
            </w:r>
          </w:p>
        </w:tc>
      </w:tr>
      <w:tr>
        <w:tc>
          <w:tcPr>
            <w:tcW w:type="dxa" w:w="3135"/>
            <w:shd w:val="clear" w:color="auto" w:fill="EBF0F6"/>
          </w:tcPr>
          <w:p>
            <w:r>
              <w:rPr>
                <w:b w:val="0"/>
                <w:sz w:val="20"/>
              </w:rPr>
              <w:t>One Monterrey Aeropuerto</w:t>
            </w:r>
          </w:p>
        </w:tc>
        <w:tc>
          <w:tcPr>
            <w:tcW w:type="dxa" w:w="3135"/>
            <w:shd w:val="clear" w:color="auto" w:fill="EBF0F6"/>
          </w:tcPr>
          <w:p>
            <w:r>
              <w:rPr>
                <w:b w:val="0"/>
                <w:sz w:val="20"/>
              </w:rPr>
              <w:t>2 locales</w:t>
            </w:r>
          </w:p>
        </w:tc>
        <w:tc>
          <w:tcPr>
            <w:tcW w:type="dxa" w:w="3135"/>
            <w:shd w:val="clear" w:color="auto" w:fill="EBF0F6"/>
          </w:tcPr>
          <w:p>
            <w:r>
              <w:rPr>
                <w:b w:val="0"/>
                <w:sz w:val="20"/>
              </w:rPr>
              <w:t>Solo agua</w:t>
            </w:r>
          </w:p>
        </w:tc>
      </w:tr>
      <w:tr>
        <w:tc>
          <w:tcPr>
            <w:tcW w:type="dxa" w:w="3135"/>
            <w:shd w:val="clear" w:color="auto" w:fill="FFFFFF"/>
          </w:tcPr>
          <w:p>
            <w:r>
              <w:rPr>
                <w:b w:val="0"/>
                <w:sz w:val="20"/>
              </w:rPr>
              <w:t>Fiesta Americana Hermosillo</w:t>
            </w:r>
          </w:p>
        </w:tc>
        <w:tc>
          <w:tcPr>
            <w:tcW w:type="dxa" w:w="3135"/>
            <w:shd w:val="clear" w:color="auto" w:fill="FFFFFF"/>
          </w:tcPr>
          <w:p>
            <w:r>
              <w:rPr>
                <w:b w:val="0"/>
                <w:sz w:val="20"/>
              </w:rPr>
              <w:t>1 local</w:t>
            </w:r>
          </w:p>
        </w:tc>
        <w:tc>
          <w:tcPr>
            <w:tcW w:type="dxa" w:w="3135"/>
            <w:shd w:val="clear" w:color="auto" w:fill="FFFFFF"/>
          </w:tcPr>
          <w:p>
            <w:r>
              <w:rPr>
                <w:b w:val="0"/>
                <w:sz w:val="20"/>
              </w:rPr>
              <w:t>Luz y agua</w:t>
            </w:r>
          </w:p>
        </w:tc>
      </w:tr>
      <w:tr>
        <w:tc>
          <w:tcPr>
            <w:tcW w:type="dxa" w:w="3135"/>
            <w:shd w:val="clear" w:color="auto" w:fill="EBF0F6"/>
          </w:tcPr>
          <w:p>
            <w:r>
              <w:rPr>
                <w:b w:val="0"/>
                <w:sz w:val="20"/>
              </w:rPr>
              <w:t>Fiesta Inn Ciudad Juárez</w:t>
            </w:r>
          </w:p>
        </w:tc>
        <w:tc>
          <w:tcPr>
            <w:tcW w:type="dxa" w:w="3135"/>
            <w:shd w:val="clear" w:color="auto" w:fill="EBF0F6"/>
          </w:tcPr>
          <w:p>
            <w:r>
              <w:rPr>
                <w:b w:val="0"/>
                <w:sz w:val="20"/>
              </w:rPr>
              <w:t>1 local</w:t>
            </w:r>
          </w:p>
        </w:tc>
        <w:tc>
          <w:tcPr>
            <w:tcW w:type="dxa" w:w="3135"/>
            <w:shd w:val="clear" w:color="auto" w:fill="EBF0F6"/>
          </w:tcPr>
          <w:p>
            <w:r>
              <w:rPr>
                <w:b w:val="0"/>
                <w:sz w:val="20"/>
              </w:rPr>
              <w:t>Solo electricidad</w:t>
            </w:r>
          </w:p>
        </w:tc>
      </w:tr>
      <w:tr>
        <w:tc>
          <w:tcPr>
            <w:tcW w:type="dxa" w:w="3135"/>
            <w:shd w:val="clear" w:color="auto" w:fill="FFFFFF"/>
          </w:tcPr>
          <w:p>
            <w:r>
              <w:rPr>
                <w:b w:val="0"/>
                <w:sz w:val="20"/>
              </w:rPr>
              <w:t>Fiesta Inn Ciudad Obregón</w:t>
            </w:r>
          </w:p>
        </w:tc>
        <w:tc>
          <w:tcPr>
            <w:tcW w:type="dxa" w:w="3135"/>
            <w:shd w:val="clear" w:color="auto" w:fill="FFFFFF"/>
          </w:tcPr>
          <w:p>
            <w:r>
              <w:rPr>
                <w:b w:val="0"/>
                <w:sz w:val="20"/>
              </w:rPr>
              <w:t>1 local</w:t>
            </w:r>
          </w:p>
        </w:tc>
        <w:tc>
          <w:tcPr>
            <w:tcW w:type="dxa" w:w="3135"/>
            <w:shd w:val="clear" w:color="auto" w:fill="FFFFFF"/>
          </w:tcPr>
          <w:p>
            <w:r>
              <w:rPr>
                <w:b w:val="0"/>
                <w:sz w:val="20"/>
              </w:rPr>
              <w:t>Solo electricidad</w:t>
            </w:r>
          </w:p>
        </w:tc>
      </w:tr>
    </w:tbl>
    <w:p/>
    <w:p>
      <w:r>
        <w:rPr>
          <w:b/>
          <w:color w:val="0C2340"/>
          <w:sz w:val="26"/>
        </w:rPr>
        <w:t>OBJETIVO 3 — IMPLEMENTACIÓN DE INTELIGENCIA ARTIFICIAL</w:t>
      </w:r>
    </w:p>
    <w:p>
      <w:r>
        <w:rPr>
          <w:b/>
          <w:color w:val="1D6B4F"/>
          <w:sz w:val="20"/>
        </w:rPr>
        <w:t>Ponderación: 25%  ·  Puesta en marcha</w:t>
      </w:r>
    </w:p>
    <w:p>
      <w:pPr>
        <w:jc w:val="both"/>
      </w:pPr>
      <w:r>
        <w:t>La plataforma propia con IA, desarrollada internamente en sustitución de WiseCricket, ha completado todas las etapas de desarrollo: diseño funcional, análisis y visualización del dashboard, diseño y ejecución de la plataforma, y perfeccionamiento de funciones. Al cierre del 2Q la plataforma se encuentra en etapa de puesta en marcha, cubriendo la totalidad de las funcionalidades del objetivo original.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  <w:shd w:val="clear" w:color="auto" w:fill="0C2340"/>
          </w:tcPr>
          <w:p>
            <w:r>
              <w:rPr>
                <w:b/>
                <w:color w:val="FFFFFF"/>
                <w:sz w:val="18"/>
              </w:rPr>
              <w:t>Diseño funcional</w:t>
            </w:r>
          </w:p>
        </w:tc>
        <w:tc>
          <w:tcPr>
            <w:tcW w:type="dxa" w:w="1881"/>
            <w:shd w:val="clear" w:color="auto" w:fill="0C2340"/>
          </w:tcPr>
          <w:p>
            <w:r>
              <w:rPr>
                <w:b/>
                <w:color w:val="FFFFFF"/>
                <w:sz w:val="18"/>
              </w:rPr>
              <w:t>Análisis / Dashboard</w:t>
            </w:r>
          </w:p>
        </w:tc>
        <w:tc>
          <w:tcPr>
            <w:tcW w:type="dxa" w:w="1881"/>
            <w:shd w:val="clear" w:color="auto" w:fill="0C2340"/>
          </w:tcPr>
          <w:p>
            <w:r>
              <w:rPr>
                <w:b/>
                <w:color w:val="FFFFFF"/>
                <w:sz w:val="18"/>
              </w:rPr>
              <w:t>Diseño y ejecución</w:t>
            </w:r>
          </w:p>
        </w:tc>
        <w:tc>
          <w:tcPr>
            <w:tcW w:type="dxa" w:w="1881"/>
            <w:shd w:val="clear" w:color="auto" w:fill="0C2340"/>
          </w:tcPr>
          <w:p>
            <w:r>
              <w:rPr>
                <w:b/>
                <w:color w:val="FFFFFF"/>
                <w:sz w:val="18"/>
              </w:rPr>
              <w:t>Perfeccionamiento</w:t>
            </w:r>
          </w:p>
        </w:tc>
        <w:tc>
          <w:tcPr>
            <w:tcW w:type="dxa" w:w="1881"/>
            <w:shd w:val="clear" w:color="auto" w:fill="0C2340"/>
          </w:tcPr>
          <w:p>
            <w:r>
              <w:rPr>
                <w:b/>
                <w:color w:val="FFFFFF"/>
                <w:sz w:val="18"/>
              </w:rPr>
              <w:t>Puesta en marcha</w:t>
            </w:r>
          </w:p>
        </w:tc>
      </w:tr>
      <w:tr>
        <w:tc>
          <w:tcPr>
            <w:tcW w:type="dxa" w:w="1881"/>
            <w:shd w:val="clear" w:color="auto" w:fill="1D6B4F"/>
          </w:tcPr>
          <w:p>
            <w:r>
              <w:rPr>
                <w:b/>
                <w:color w:val="FFFFFF"/>
                <w:sz w:val="19"/>
              </w:rPr>
              <w:t>✓ Completado</w:t>
            </w:r>
          </w:p>
        </w:tc>
        <w:tc>
          <w:tcPr>
            <w:tcW w:type="dxa" w:w="1881"/>
            <w:shd w:val="clear" w:color="auto" w:fill="1D6B4F"/>
          </w:tcPr>
          <w:p>
            <w:r>
              <w:rPr>
                <w:b/>
                <w:color w:val="FFFFFF"/>
                <w:sz w:val="19"/>
              </w:rPr>
              <w:t>✓ Completado</w:t>
            </w:r>
          </w:p>
        </w:tc>
        <w:tc>
          <w:tcPr>
            <w:tcW w:type="dxa" w:w="1881"/>
            <w:shd w:val="clear" w:color="auto" w:fill="1D6B4F"/>
          </w:tcPr>
          <w:p>
            <w:r>
              <w:rPr>
                <w:b/>
                <w:color w:val="FFFFFF"/>
                <w:sz w:val="19"/>
              </w:rPr>
              <w:t>✓ Completado</w:t>
            </w:r>
          </w:p>
        </w:tc>
        <w:tc>
          <w:tcPr>
            <w:tcW w:type="dxa" w:w="1881"/>
            <w:shd w:val="clear" w:color="auto" w:fill="1D6B4F"/>
          </w:tcPr>
          <w:p>
            <w:r>
              <w:rPr>
                <w:b/>
                <w:color w:val="FFFFFF"/>
                <w:sz w:val="19"/>
              </w:rPr>
              <w:t>✓ Completado</w:t>
            </w:r>
          </w:p>
        </w:tc>
        <w:tc>
          <w:tcPr>
            <w:tcW w:type="dxa" w:w="1881"/>
            <w:shd w:val="clear" w:color="auto" w:fill="B8943A"/>
          </w:tcPr>
          <w:p>
            <w:r>
              <w:rPr>
                <w:b/>
                <w:color w:val="FFFFFF"/>
                <w:sz w:val="19"/>
              </w:rPr>
              <w:t>→ En curso</w:t>
            </w:r>
          </w:p>
        </w:tc>
      </w:tr>
    </w:tbl>
    <w:p/>
    <w:p>
      <w:r>
        <w:rPr>
          <w:b/>
          <w:color w:val="0C2340"/>
          <w:sz w:val="26"/>
        </w:rPr>
        <w:t>RESUMEN DE CUMPLIMIENTO — 2Q 2026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val="clear" w:color="auto" w:fill="0C2340"/>
          </w:tcPr>
          <w:p>
            <w:r>
              <w:rPr>
                <w:b/>
                <w:color w:val="FFFFFF"/>
                <w:sz w:val="20"/>
              </w:rPr>
              <w:t>Objetivo</w:t>
            </w:r>
          </w:p>
        </w:tc>
        <w:tc>
          <w:tcPr>
            <w:tcW w:type="dxa" w:w="2351"/>
            <w:shd w:val="clear" w:color="auto" w:fill="0C2340"/>
          </w:tcPr>
          <w:p>
            <w:r>
              <w:rPr>
                <w:b/>
                <w:color w:val="FFFFFF"/>
                <w:sz w:val="20"/>
              </w:rPr>
              <w:t>Ponderación</w:t>
            </w:r>
          </w:p>
        </w:tc>
        <w:tc>
          <w:tcPr>
            <w:tcW w:type="dxa" w:w="2351"/>
            <w:shd w:val="clear" w:color="auto" w:fill="0C2340"/>
          </w:tcPr>
          <w:p>
            <w:r>
              <w:rPr>
                <w:b/>
                <w:color w:val="FFFFFF"/>
                <w:sz w:val="20"/>
              </w:rPr>
              <w:t>Avance 2Q</w:t>
            </w:r>
          </w:p>
        </w:tc>
        <w:tc>
          <w:tcPr>
            <w:tcW w:type="dxa" w:w="2351"/>
            <w:shd w:val="clear" w:color="auto" w:fill="0C2340"/>
          </w:tcPr>
          <w:p>
            <w:r>
              <w:rPr>
                <w:b/>
                <w:color w:val="FFFFFF"/>
                <w:sz w:val="20"/>
              </w:rPr>
              <w:t>Estatus</w:t>
            </w:r>
          </w:p>
        </w:tc>
      </w:tr>
      <w:tr>
        <w:tc>
          <w:tcPr>
            <w:tcW w:type="dxa" w:w="2351"/>
            <w:shd w:val="clear" w:color="auto" w:fill="FFFFFF"/>
          </w:tcPr>
          <w:p>
            <w:r>
              <w:rPr>
                <w:b/>
                <w:sz w:val="20"/>
              </w:rPr>
              <w:t>1. Colocación de nuevos arrendatarios</w:t>
            </w:r>
          </w:p>
        </w:tc>
        <w:tc>
          <w:tcPr>
            <w:tcW w:type="dxa" w:w="2351"/>
            <w:shd w:val="clear" w:color="auto" w:fill="FFFFFF"/>
          </w:tcPr>
          <w:p>
            <w:r>
              <w:rPr>
                <w:b w:val="0"/>
                <w:sz w:val="20"/>
              </w:rPr>
              <w:t>50%</w:t>
            </w:r>
          </w:p>
        </w:tc>
        <w:tc>
          <w:tcPr>
            <w:tcW w:type="dxa" w:w="2351"/>
            <w:shd w:val="clear" w:color="auto" w:fill="FFFFFF"/>
          </w:tcPr>
          <w:p>
            <w:r>
              <w:rPr>
                <w:b w:val="0"/>
                <w:sz w:val="20"/>
              </w:rPr>
              <w:t>344 m² / 155%  ·  $1,053K ingreso anual</w:t>
            </w:r>
          </w:p>
        </w:tc>
        <w:tc>
          <w:tcPr>
            <w:tcW w:type="dxa" w:w="2351"/>
            <w:shd w:val="clear" w:color="auto" w:fill="FFFFFF"/>
          </w:tcPr>
          <w:p>
            <w:r>
              <w:rPr>
                <w:b w:val="0"/>
                <w:sz w:val="20"/>
              </w:rPr>
              <w:t>En elaboración de contrato</w:t>
            </w:r>
          </w:p>
        </w:tc>
      </w:tr>
      <w:tr>
        <w:tc>
          <w:tcPr>
            <w:tcW w:type="dxa" w:w="2351"/>
            <w:shd w:val="clear" w:color="auto" w:fill="EBF0F6"/>
          </w:tcPr>
          <w:p>
            <w:r>
              <w:rPr>
                <w:b/>
                <w:sz w:val="20"/>
              </w:rPr>
              <w:t>2. Independización de energéticos</w:t>
            </w:r>
          </w:p>
        </w:tc>
        <w:tc>
          <w:tcPr>
            <w:tcW w:type="dxa" w:w="2351"/>
            <w:shd w:val="clear" w:color="auto" w:fill="EBF0F6"/>
          </w:tcPr>
          <w:p>
            <w:r>
              <w:rPr>
                <w:b w:val="0"/>
                <w:sz w:val="20"/>
              </w:rPr>
              <w:t>25%</w:t>
            </w:r>
          </w:p>
        </w:tc>
        <w:tc>
          <w:tcPr>
            <w:tcW w:type="dxa" w:w="2351"/>
            <w:shd w:val="clear" w:color="auto" w:fill="EBF0F6"/>
          </w:tcPr>
          <w:p>
            <w:r>
              <w:rPr>
                <w:b w:val="0"/>
                <w:sz w:val="20"/>
              </w:rPr>
              <w:t>Diagnóstico concluido: 53 arrendat., 47.2% independiz.</w:t>
            </w:r>
          </w:p>
        </w:tc>
        <w:tc>
          <w:tcPr>
            <w:tcW w:type="dxa" w:w="2351"/>
            <w:shd w:val="clear" w:color="auto" w:fill="EBF0F6"/>
          </w:tcPr>
          <w:p>
            <w:r>
              <w:rPr>
                <w:b w:val="0"/>
                <w:sz w:val="20"/>
              </w:rPr>
              <w:t>Diagnóstico realizado</w:t>
            </w:r>
          </w:p>
        </w:tc>
      </w:tr>
      <w:tr>
        <w:tc>
          <w:tcPr>
            <w:tcW w:type="dxa" w:w="2351"/>
            <w:shd w:val="clear" w:color="auto" w:fill="FFFFFF"/>
          </w:tcPr>
          <w:p>
            <w:r>
              <w:rPr>
                <w:b/>
                <w:sz w:val="20"/>
              </w:rPr>
              <w:t>3. Implementación de IA</w:t>
            </w:r>
          </w:p>
        </w:tc>
        <w:tc>
          <w:tcPr>
            <w:tcW w:type="dxa" w:w="2351"/>
            <w:shd w:val="clear" w:color="auto" w:fill="FFFFFF"/>
          </w:tcPr>
          <w:p>
            <w:r>
              <w:rPr>
                <w:b w:val="0"/>
                <w:sz w:val="20"/>
              </w:rPr>
              <w:t>25%</w:t>
            </w:r>
          </w:p>
        </w:tc>
        <w:tc>
          <w:tcPr>
            <w:tcW w:type="dxa" w:w="2351"/>
            <w:shd w:val="clear" w:color="auto" w:fill="FFFFFF"/>
          </w:tcPr>
          <w:p>
            <w:r>
              <w:rPr>
                <w:b w:val="0"/>
                <w:sz w:val="20"/>
              </w:rPr>
              <w:t>Todas las etapas completadas</w:t>
            </w:r>
          </w:p>
        </w:tc>
        <w:tc>
          <w:tcPr>
            <w:tcW w:type="dxa" w:w="2351"/>
            <w:shd w:val="clear" w:color="auto" w:fill="FFFFFF"/>
          </w:tcPr>
          <w:p>
            <w:r>
              <w:rPr>
                <w:b w:val="0"/>
                <w:sz w:val="20"/>
              </w:rPr>
              <w:t>Puesta en marcha</w:t>
            </w:r>
          </w:p>
        </w:tc>
      </w:tr>
    </w:tbl>
    <w:p/>
    <w:p>
      <w:pPr>
        <w:jc w:val="center"/>
      </w:pPr>
      <w:r>
        <w:rPr>
          <w:i/>
          <w:color w:val="7A92A8"/>
          <w:sz w:val="19"/>
        </w:rPr>
        <w:t>Elaborado por: Gerardo Vega Quinto — Área de Arrendamiento, Fibra Hotel Corporativo</w:t>
      </w:r>
    </w:p>
    <w:sectPr w:rsidR="00FC693F" w:rsidRPr="0006063C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