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A2762D"/>
        </w:rPr>
        <w:t>PRODUCT REQUIREMENTS  /  ENGINEERING HANDOFF</w:t>
      </w:r>
    </w:p>
    <w:p>
      <w:pPr>
        <w:pStyle w:val="Title"/>
      </w:pPr>
      <w:r>
        <w:t>ROMASWAP</w:t>
      </w:r>
    </w:p>
    <w:p>
      <w:r>
        <w:t>Noncustodial Crypto Swap Aggregator</w:t>
      </w:r>
    </w:p>
    <w:p>
      <w:r>
        <w:t>Technical requirements, reference architecture, acceptance criteria and launch roadmap</w:t>
      </w:r>
    </w:p>
    <w:p>
      <w:r>
        <w:t>Version 1.0  |  28 October 2026  |  Proposed MVP: Base mainnet</w:t>
      </w:r>
    </w:p>
    <w:p/>
    <w:tbl>
      <w:tblPr>
        <w:tblStyle w:val="LightShading-Accent1"/>
        <w:tblW w:type="auto" w:w="0"/>
        <w:jc w:val="center"/>
        <w:tblLook w:firstColumn="1" w:firstRow="1" w:lastColumn="0" w:lastRow="0" w:noHBand="0" w:noVBand="1" w:val="04A0"/>
      </w:tblPr>
      <w:tblGrid>
        <w:gridCol w:w="4910"/>
        <w:gridCol w:w="4910"/>
      </w:tblGrid>
      <w:tr>
        <w:tc>
          <w:tcPr>
            <w:tcW w:type="dxa" w:w="2232"/>
            <w:shd w:fill="1B2029"/>
          </w:tcPr>
          <w:p>
            <w:r>
              <w:rPr>
                <w:b/>
                <w:color w:val="FFFFFF"/>
                <w:sz w:val="16"/>
              </w:rPr>
              <w:t>Decision</w:t>
            </w:r>
          </w:p>
        </w:tc>
        <w:tc>
          <w:tcPr>
            <w:tcW w:type="dxa" w:w="7200"/>
            <w:shd w:fill="1B2029"/>
          </w:tcPr>
          <w:p>
            <w:r>
              <w:rPr>
                <w:b/>
                <w:color w:val="FFFFFF"/>
                <w:sz w:val="16"/>
              </w:rPr>
              <w:t>Approved baseline</w:t>
            </w:r>
          </w:p>
        </w:tc>
      </w:tr>
      <w:tr>
        <w:tc>
          <w:tcPr>
            <w:tcW w:type="dxa" w:w="2232"/>
            <w:vAlign w:val="center"/>
          </w:tcPr>
          <w:p>
            <w:pPr>
              <w:spacing w:after="20"/>
            </w:pPr>
            <w:r>
              <w:rPr>
                <w:sz w:val="15"/>
              </w:rPr>
              <w:t>Operating model</w:t>
            </w:r>
          </w:p>
        </w:tc>
        <w:tc>
          <w:tcPr>
            <w:tcW w:type="dxa" w:w="7200"/>
            <w:vAlign w:val="center"/>
          </w:tcPr>
          <w:p>
            <w:pPr>
              <w:spacing w:after="20"/>
            </w:pPr>
            <w:r>
              <w:rPr>
                <w:sz w:val="15"/>
              </w:rPr>
              <w:t>Noncustodial front-end + 0x liquidity aggregation; user signs from own wallet</w:t>
            </w:r>
          </w:p>
        </w:tc>
      </w:tr>
      <w:tr>
        <w:tc>
          <w:tcPr>
            <w:tcW w:type="dxa" w:w="2232"/>
            <w:vAlign w:val="center"/>
            <w:shd w:fill="F5F2EC"/>
          </w:tcPr>
          <w:p>
            <w:pPr>
              <w:spacing w:after="20"/>
            </w:pPr>
            <w:r>
              <w:rPr>
                <w:sz w:val="15"/>
              </w:rPr>
              <w:t>Network</w:t>
            </w:r>
          </w:p>
        </w:tc>
        <w:tc>
          <w:tcPr>
            <w:tcW w:type="dxa" w:w="7200"/>
            <w:vAlign w:val="center"/>
            <w:shd w:fill="F5F2EC"/>
          </w:tcPr>
          <w:p>
            <w:pPr>
              <w:spacing w:after="20"/>
            </w:pPr>
            <w:r>
              <w:rPr>
                <w:sz w:val="15"/>
              </w:rPr>
              <w:t>Base Mainnet (chain ID 8453), with Base Sepolia for app testing where compatible</w:t>
            </w:r>
          </w:p>
        </w:tc>
      </w:tr>
      <w:tr>
        <w:tc>
          <w:tcPr>
            <w:tcW w:type="dxa" w:w="2232"/>
            <w:vAlign w:val="center"/>
          </w:tcPr>
          <w:p>
            <w:pPr>
              <w:spacing w:after="20"/>
            </w:pPr>
            <w:r>
              <w:rPr>
                <w:sz w:val="15"/>
              </w:rPr>
              <w:t>Core stack</w:t>
            </w:r>
          </w:p>
        </w:tc>
        <w:tc>
          <w:tcPr>
            <w:tcW w:type="dxa" w:w="7200"/>
            <w:vAlign w:val="center"/>
          </w:tcPr>
          <w:p>
            <w:pPr>
              <w:spacing w:after="20"/>
            </w:pPr>
            <w:r>
              <w:rPr>
                <w:sz w:val="15"/>
              </w:rPr>
              <w:t>Next.js App Router, React, TypeScript, wagmi, viem, Reown/WalletConnect</w:t>
            </w:r>
          </w:p>
        </w:tc>
      </w:tr>
      <w:tr>
        <w:tc>
          <w:tcPr>
            <w:tcW w:type="dxa" w:w="2232"/>
            <w:vAlign w:val="center"/>
            <w:shd w:fill="F5F2EC"/>
          </w:tcPr>
          <w:p>
            <w:pPr>
              <w:spacing w:after="20"/>
            </w:pPr>
            <w:r>
              <w:rPr>
                <w:sz w:val="15"/>
              </w:rPr>
              <w:t>Swap execution</w:t>
            </w:r>
          </w:p>
        </w:tc>
        <w:tc>
          <w:tcPr>
            <w:tcW w:type="dxa" w:w="7200"/>
            <w:vAlign w:val="center"/>
            <w:shd w:fill="F5F2EC"/>
          </w:tcPr>
          <w:p>
            <w:pPr>
              <w:spacing w:after="20"/>
            </w:pPr>
            <w:r>
              <w:rPr>
                <w:sz w:val="15"/>
              </w:rPr>
              <w:t>0x Swap API v2 /swap/allowance-holder endpoints</w:t>
            </w:r>
          </w:p>
        </w:tc>
      </w:tr>
      <w:tr>
        <w:tc>
          <w:tcPr>
            <w:tcW w:type="dxa" w:w="2232"/>
            <w:vAlign w:val="center"/>
          </w:tcPr>
          <w:p>
            <w:pPr>
              <w:spacing w:after="20"/>
            </w:pPr>
            <w:r>
              <w:rPr>
                <w:sz w:val="15"/>
              </w:rPr>
              <w:t>Commercial model</w:t>
            </w:r>
          </w:p>
        </w:tc>
        <w:tc>
          <w:tcPr>
            <w:tcW w:type="dxa" w:w="7200"/>
            <w:vAlign w:val="center"/>
          </w:tcPr>
          <w:p>
            <w:pPr>
              <w:spacing w:after="20"/>
            </w:pPr>
            <w:r>
              <w:rPr>
                <w:sz w:val="15"/>
              </w:rPr>
              <w:t>Disclosed integrator fee; terms and fee settings validated with 0x</w:t>
            </w:r>
          </w:p>
        </w:tc>
      </w:tr>
      <w:tr>
        <w:tc>
          <w:tcPr>
            <w:tcW w:type="dxa" w:w="2232"/>
            <w:vAlign w:val="center"/>
            <w:shd w:fill="F5F2EC"/>
          </w:tcPr>
          <w:p>
            <w:pPr>
              <w:spacing w:after="20"/>
            </w:pPr>
            <w:r>
              <w:rPr>
                <w:sz w:val="15"/>
              </w:rPr>
              <w:t>Launch gate</w:t>
            </w:r>
          </w:p>
        </w:tc>
        <w:tc>
          <w:tcPr>
            <w:tcW w:type="dxa" w:w="7200"/>
            <w:vAlign w:val="center"/>
            <w:shd w:fill="F5F2EC"/>
          </w:tcPr>
          <w:p>
            <w:pPr>
              <w:spacing w:after="20"/>
            </w:pPr>
            <w:r>
              <w:rPr>
                <w:sz w:val="15"/>
              </w:rPr>
              <w:t>Independent security review and written regulatory clearance before live trading</w:t>
            </w:r>
          </w:p>
        </w:tc>
      </w:tr>
    </w:tbl>
    <w:p/>
    <w:p>
      <w:r>
        <w:rPr>
          <w:b/>
          <w:color w:val="98691F"/>
        </w:rPr>
        <w:t xml:space="preserve">DOCUMENT STATUS  </w:t>
      </w:r>
      <w:r>
        <w:t>Developer-ready specification and planning baseline. Vendor pricing, final 0x API schema, contract addresses, supported assets and regulatory conclusions must be revalidated before production.</w:t>
      </w:r>
    </w:p>
    <w:p>
      <w:pPr>
        <w:pStyle w:val="Heading1"/>
      </w:pPr>
      <w:r>
        <w:t>1. Executive summary</w:t>
      </w:r>
    </w:p>
    <w:p>
      <w:r>
        <w:t>RomaSwap v1 is a branded decentralized swap application that connects user-controlled wallets to existing DEX liquidity on Base through the 0x Swap API. RomaSwap does not take possession of assets, collect private keys, provide custodial accounts, operate its own pools, deploy a native token or promise optimal execution under every condition.</w:t>
      </w:r>
    </w:p>
    <w:p>
      <w:r>
        <w:t>A successful MVP lets a user connect a supported wallet, choose an approved Base asset pair, obtain a fresh quote, inspect expected output and all fees, approve ERC-20 spending only where required, sign a 0x-generated transaction, then track its onchain status and view transaction history.</w:t>
      </w:r>
    </w:p>
    <w:p>
      <w:pPr>
        <w:pStyle w:val="Heading2"/>
      </w:pPr>
      <w:r>
        <w:t>1.1 In scope</w:t>
      </w:r>
    </w:p>
    <w:p>
      <w:pPr>
        <w:pStyle w:val="ListBullet"/>
      </w:pPr>
      <w:r>
        <w:t>Wallets: MetaMask, Coinbase Wallet and WalletConnect-compatible wallets; network switching to Base.</w:t>
      </w:r>
    </w:p>
    <w:p>
      <w:pPr>
        <w:pStyle w:val="ListBullet"/>
      </w:pPr>
      <w:r>
        <w:t>Same-chain Base swaps among allowlisted native ETH and ERC-20 assets; ETH wrapping behavior follows provider support.</w:t>
      </w:r>
    </w:p>
    <w:p>
      <w:pPr>
        <w:pStyle w:val="ListBullet"/>
      </w:pPr>
      <w:r>
        <w:t>Indicative prices, firm quotes, user-visible slippage and minimum received, gas and fee presentation.</w:t>
      </w:r>
    </w:p>
    <w:p>
      <w:pPr>
        <w:pStyle w:val="ListBullet"/>
      </w:pPr>
      <w:r>
        <w:t>Exact/limited token approvals, wallet balance retrieval, pending/confirmed/reverted transaction history.</w:t>
      </w:r>
    </w:p>
    <w:p>
      <w:pPr>
        <w:pStyle w:val="ListBullet"/>
      </w:pPr>
      <w:r>
        <w:t>Black/gold responsive design; read-only analytics admin with role-based access and alerting.</w:t>
      </w:r>
    </w:p>
    <w:p>
      <w:pPr>
        <w:pStyle w:val="ListBullet"/>
      </w:pPr>
      <w:r>
        <w:t>Noncustodial architecture with no user signing keys, seed phrases, or private keys stored or transmitted.</w:t>
      </w:r>
    </w:p>
    <w:p>
      <w:pPr>
        <w:pStyle w:val="Heading2"/>
      </w:pPr>
      <w:r>
        <w:t>1.2 Explicitly out of scope</w:t>
      </w:r>
    </w:p>
    <w:p>
      <w:pPr>
        <w:pStyle w:val="ListBullet"/>
      </w:pPr>
      <w:r>
        <w:t>Cross-chain bridging; fiat purchases; centralized order books; limit orders; perpetuals; staking; lending.</w:t>
      </w:r>
    </w:p>
    <w:p>
      <w:pPr>
        <w:pStyle w:val="ListBullet"/>
      </w:pPr>
      <w:r>
        <w:t>Creating a new AMM, liquidity pool, governance token, or native ROMA token.</w:t>
      </w:r>
    </w:p>
    <w:p>
      <w:pPr>
        <w:pStyle w:val="ListBullet"/>
      </w:pPr>
      <w:r>
        <w:t>Custodial recovery, wallets hosted by RomaSwap, treasury-managed execution on behalf of users.</w:t>
      </w:r>
    </w:p>
    <w:p>
      <w:pPr>
        <w:pStyle w:val="ListBullet"/>
      </w:pPr>
      <w:r>
        <w:t>Automatic support for arbitrary tokens or all wallets/chains.</w:t>
      </w:r>
    </w:p>
    <w:p>
      <w:pPr>
        <w:pStyle w:val="Heading1"/>
      </w:pPr>
      <w:r>
        <w:t>2. System architecture</w:t>
      </w:r>
    </w:p>
    <w:p>
      <w:r>
        <w:t>Boundary: browser owns wallet interaction and user signing. RomaSwap backend owns 0x credentials, request validation and optional analytics. 0x returns quotes/transactions; user wallet submits signed transactions to Base. Analytics should capture minimal wallet pseudonymous data, with consent and retention controls.</w:t>
      </w:r>
    </w:p>
    <w:p>
      <w:r>
        <w:t>USER BROWSER  →  Next.js swap UI + wagmi/viem  →  RomaSwap quote API proxy  →  0x Swap API</w:t>
      </w:r>
    </w:p>
    <w:p>
      <w:r>
        <w:t>USER WALLET   →  signs approval / swap locally  →  Base RPC  →  onchain 0x settlement</w:t>
      </w:r>
    </w:p>
    <w:p>
      <w:r>
        <w:t>OBSERVABILITY  ←  client/server telemetry + transaction receipts  →  admin dashboard</w:t>
      </w:r>
    </w:p>
    <w:tbl>
      <w:tblPr>
        <w:tblStyle w:val="LightShading-Accent1"/>
        <w:tblW w:type="auto" w:w="0"/>
        <w:jc w:val="center"/>
        <w:tblLook w:firstColumn="1" w:firstRow="1" w:lastColumn="0" w:lastRow="0" w:noHBand="0" w:noVBand="1" w:val="04A0"/>
      </w:tblPr>
      <w:tblGrid>
        <w:gridCol w:w="3273"/>
        <w:gridCol w:w="3273"/>
        <w:gridCol w:w="3273"/>
      </w:tblGrid>
      <w:tr>
        <w:tc>
          <w:tcPr>
            <w:tcW w:type="dxa" w:w="1872"/>
            <w:shd w:fill="1B2029"/>
          </w:tcPr>
          <w:p>
            <w:r>
              <w:rPr>
                <w:b/>
                <w:color w:val="FFFFFF"/>
                <w:sz w:val="16"/>
              </w:rPr>
              <w:t>Component</w:t>
            </w:r>
          </w:p>
        </w:tc>
        <w:tc>
          <w:tcPr>
            <w:tcW w:type="dxa" w:w="4392"/>
            <w:shd w:fill="1B2029"/>
          </w:tcPr>
          <w:p>
            <w:r>
              <w:rPr>
                <w:b/>
                <w:color w:val="FFFFFF"/>
                <w:sz w:val="16"/>
              </w:rPr>
              <w:t>Responsibility</w:t>
            </w:r>
          </w:p>
        </w:tc>
        <w:tc>
          <w:tcPr>
            <w:tcW w:type="dxa" w:w="3024"/>
            <w:shd w:fill="1B2029"/>
          </w:tcPr>
          <w:p>
            <w:r>
              <w:rPr>
                <w:b/>
                <w:color w:val="FFFFFF"/>
                <w:sz w:val="16"/>
              </w:rPr>
              <w:t>Trust boundary</w:t>
            </w:r>
          </w:p>
        </w:tc>
      </w:tr>
      <w:tr>
        <w:tc>
          <w:tcPr>
            <w:tcW w:type="dxa" w:w="1872"/>
            <w:vAlign w:val="center"/>
          </w:tcPr>
          <w:p>
            <w:pPr>
              <w:spacing w:after="20"/>
            </w:pPr>
            <w:r>
              <w:rPr>
                <w:sz w:val="15"/>
              </w:rPr>
              <w:t>Next.js frontend</w:t>
            </w:r>
          </w:p>
        </w:tc>
        <w:tc>
          <w:tcPr>
            <w:tcW w:type="dxa" w:w="4392"/>
            <w:vAlign w:val="center"/>
          </w:tcPr>
          <w:p>
            <w:pPr>
              <w:spacing w:after="20"/>
            </w:pPr>
            <w:r>
              <w:rPr>
                <w:sz w:val="15"/>
              </w:rPr>
              <w:t>Token picker, amount input, wallet state, quotes, previews, transaction state</w:t>
            </w:r>
          </w:p>
        </w:tc>
        <w:tc>
          <w:tcPr>
            <w:tcW w:type="dxa" w:w="3024"/>
            <w:vAlign w:val="center"/>
          </w:tcPr>
          <w:p>
            <w:pPr>
              <w:spacing w:after="20"/>
            </w:pPr>
            <w:r>
              <w:rPr>
                <w:sz w:val="15"/>
              </w:rPr>
              <w:t>Never receives a private key; no privileged API tokens</w:t>
            </w:r>
          </w:p>
        </w:tc>
      </w:tr>
      <w:tr>
        <w:tc>
          <w:tcPr>
            <w:tcW w:type="dxa" w:w="1872"/>
            <w:vAlign w:val="center"/>
            <w:shd w:fill="F5F2EC"/>
          </w:tcPr>
          <w:p>
            <w:pPr>
              <w:spacing w:after="20"/>
            </w:pPr>
            <w:r>
              <w:rPr>
                <w:sz w:val="15"/>
              </w:rPr>
              <w:t>Quote proxy (server)</w:t>
            </w:r>
          </w:p>
        </w:tc>
        <w:tc>
          <w:tcPr>
            <w:tcW w:type="dxa" w:w="4392"/>
            <w:vAlign w:val="center"/>
            <w:shd w:fill="F5F2EC"/>
          </w:tcPr>
          <w:p>
            <w:pPr>
              <w:spacing w:after="20"/>
            </w:pPr>
            <w:r>
              <w:rPr>
                <w:sz w:val="15"/>
              </w:rPr>
              <w:t>Validate chain, token addresses, amount, fee parameters; call 0x over HTTPS</w:t>
            </w:r>
          </w:p>
        </w:tc>
        <w:tc>
          <w:tcPr>
            <w:tcW w:type="dxa" w:w="3024"/>
            <w:vAlign w:val="center"/>
            <w:shd w:fill="F5F2EC"/>
          </w:tcPr>
          <w:p>
            <w:pPr>
              <w:spacing w:after="20"/>
            </w:pPr>
            <w:r>
              <w:rPr>
                <w:sz w:val="15"/>
              </w:rPr>
              <w:t>Stores 0x key server-side; rate limits, logging redaction</w:t>
            </w:r>
          </w:p>
        </w:tc>
      </w:tr>
      <w:tr>
        <w:tc>
          <w:tcPr>
            <w:tcW w:type="dxa" w:w="1872"/>
            <w:vAlign w:val="center"/>
          </w:tcPr>
          <w:p>
            <w:pPr>
              <w:spacing w:after="20"/>
            </w:pPr>
            <w:r>
              <w:rPr>
                <w:sz w:val="15"/>
              </w:rPr>
              <w:t>Wallet adapters</w:t>
            </w:r>
          </w:p>
        </w:tc>
        <w:tc>
          <w:tcPr>
            <w:tcW w:type="dxa" w:w="4392"/>
            <w:vAlign w:val="center"/>
          </w:tcPr>
          <w:p>
            <w:pPr>
              <w:spacing w:after="20"/>
            </w:pPr>
            <w:r>
              <w:rPr>
                <w:sz w:val="15"/>
              </w:rPr>
              <w:t>MetaMask/Coinbase Wallet/WalletConnect connectivity and signing</w:t>
            </w:r>
          </w:p>
        </w:tc>
        <w:tc>
          <w:tcPr>
            <w:tcW w:type="dxa" w:w="3024"/>
            <w:vAlign w:val="center"/>
          </w:tcPr>
          <w:p>
            <w:pPr>
              <w:spacing w:after="20"/>
            </w:pPr>
            <w:r>
              <w:rPr>
                <w:sz w:val="15"/>
              </w:rPr>
              <w:t>All consent and signatures remain wallet-controlled</w:t>
            </w:r>
          </w:p>
        </w:tc>
      </w:tr>
      <w:tr>
        <w:tc>
          <w:tcPr>
            <w:tcW w:type="dxa" w:w="1872"/>
            <w:vAlign w:val="center"/>
            <w:shd w:fill="F5F2EC"/>
          </w:tcPr>
          <w:p>
            <w:pPr>
              <w:spacing w:after="20"/>
            </w:pPr>
            <w:r>
              <w:rPr>
                <w:sz w:val="15"/>
              </w:rPr>
              <w:t>Base RPC provider</w:t>
            </w:r>
          </w:p>
        </w:tc>
        <w:tc>
          <w:tcPr>
            <w:tcW w:type="dxa" w:w="4392"/>
            <w:vAlign w:val="center"/>
            <w:shd w:fill="F5F2EC"/>
          </w:tcPr>
          <w:p>
            <w:pPr>
              <w:spacing w:after="20"/>
            </w:pPr>
            <w:r>
              <w:rPr>
                <w:sz w:val="15"/>
              </w:rPr>
              <w:t>Balances, allowances, receipts, block tracking</w:t>
            </w:r>
          </w:p>
        </w:tc>
        <w:tc>
          <w:tcPr>
            <w:tcW w:type="dxa" w:w="3024"/>
            <w:vAlign w:val="center"/>
            <w:shd w:fill="F5F2EC"/>
          </w:tcPr>
          <w:p>
            <w:pPr>
              <w:spacing w:after="20"/>
            </w:pPr>
            <w:r>
              <w:rPr>
                <w:sz w:val="15"/>
              </w:rPr>
              <w:t>Production SLA and fallback provider required</w:t>
            </w:r>
          </w:p>
        </w:tc>
      </w:tr>
      <w:tr>
        <w:tc>
          <w:tcPr>
            <w:tcW w:type="dxa" w:w="1872"/>
            <w:vAlign w:val="center"/>
          </w:tcPr>
          <w:p>
            <w:pPr>
              <w:spacing w:after="20"/>
            </w:pPr>
            <w:r>
              <w:rPr>
                <w:sz w:val="15"/>
              </w:rPr>
              <w:t>0x Swap API v2</w:t>
            </w:r>
          </w:p>
        </w:tc>
        <w:tc>
          <w:tcPr>
            <w:tcW w:type="dxa" w:w="4392"/>
            <w:vAlign w:val="center"/>
          </w:tcPr>
          <w:p>
            <w:pPr>
              <w:spacing w:after="20"/>
            </w:pPr>
            <w:r>
              <w:rPr>
                <w:sz w:val="15"/>
              </w:rPr>
              <w:t>Liquidity routing, quote generation and executable calldata</w:t>
            </w:r>
          </w:p>
        </w:tc>
        <w:tc>
          <w:tcPr>
            <w:tcW w:type="dxa" w:w="3024"/>
            <w:vAlign w:val="center"/>
          </w:tcPr>
          <w:p>
            <w:pPr>
              <w:spacing w:after="20"/>
            </w:pPr>
            <w:r>
              <w:rPr>
                <w:sz w:val="15"/>
              </w:rPr>
              <w:t>Contract targets checked against documented response and allowlist</w:t>
            </w:r>
          </w:p>
        </w:tc>
      </w:tr>
      <w:tr>
        <w:tc>
          <w:tcPr>
            <w:tcW w:type="dxa" w:w="1872"/>
            <w:vAlign w:val="center"/>
            <w:shd w:fill="F5F2EC"/>
          </w:tcPr>
          <w:p>
            <w:pPr>
              <w:spacing w:after="20"/>
            </w:pPr>
            <w:r>
              <w:rPr>
                <w:sz w:val="15"/>
              </w:rPr>
              <w:t>PostgreSQL</w:t>
            </w:r>
          </w:p>
        </w:tc>
        <w:tc>
          <w:tcPr>
            <w:tcW w:type="dxa" w:w="4392"/>
            <w:vAlign w:val="center"/>
            <w:shd w:fill="F5F2EC"/>
          </w:tcPr>
          <w:p>
            <w:pPr>
              <w:spacing w:after="20"/>
            </w:pPr>
            <w:r>
              <w:rPr>
                <w:sz w:val="15"/>
              </w:rPr>
              <w:t>Token config, quote metrics, optional transaction index, admins/audit</w:t>
            </w:r>
          </w:p>
        </w:tc>
        <w:tc>
          <w:tcPr>
            <w:tcW w:type="dxa" w:w="3024"/>
            <w:vAlign w:val="center"/>
            <w:shd w:fill="F5F2EC"/>
          </w:tcPr>
          <w:p>
            <w:pPr>
              <w:spacing w:after="20"/>
            </w:pPr>
            <w:r>
              <w:rPr>
                <w:sz w:val="15"/>
              </w:rPr>
              <w:t>No seeds, keys, raw auth secrets or unnecessary personal data</w:t>
            </w:r>
          </w:p>
        </w:tc>
      </w:tr>
      <w:tr>
        <w:tc>
          <w:tcPr>
            <w:tcW w:type="dxa" w:w="1872"/>
            <w:vAlign w:val="center"/>
          </w:tcPr>
          <w:p>
            <w:pPr>
              <w:spacing w:after="20"/>
            </w:pPr>
            <w:r>
              <w:rPr>
                <w:sz w:val="15"/>
              </w:rPr>
              <w:t>Observability</w:t>
            </w:r>
          </w:p>
        </w:tc>
        <w:tc>
          <w:tcPr>
            <w:tcW w:type="dxa" w:w="4392"/>
            <w:vAlign w:val="center"/>
          </w:tcPr>
          <w:p>
            <w:pPr>
              <w:spacing w:after="20"/>
            </w:pPr>
            <w:r>
              <w:rPr>
                <w:sz w:val="15"/>
              </w:rPr>
              <w:t>Errors, latency, RPC/0x health, failed tx alerts</w:t>
            </w:r>
          </w:p>
        </w:tc>
        <w:tc>
          <w:tcPr>
            <w:tcW w:type="dxa" w:w="3024"/>
            <w:vAlign w:val="center"/>
          </w:tcPr>
          <w:p>
            <w:pPr>
              <w:spacing w:after="20"/>
            </w:pPr>
            <w:r>
              <w:rPr>
                <w:sz w:val="15"/>
              </w:rPr>
              <w:t>Sensitive request data must be minimized/redacted</w:t>
            </w:r>
          </w:p>
        </w:tc>
      </w:tr>
    </w:tbl>
    <w:p/>
    <w:p>
      <w:pPr>
        <w:pStyle w:val="Heading2"/>
      </w:pPr>
      <w:r>
        <w:t>2.1 Recommended repository layout</w:t>
      </w:r>
    </w:p>
    <w:p>
      <w:r>
        <w:t>apps/web (pages, UI, wallet hooks); apps/web/app/api/{price,quote,tokens}; packages/config (chain/token allowlist); packages/swap (validation and 0x client); packages/ui (design system); packages/telemetry; infra (deployment/IaC); tests/{unit,integration,e2e}.</w:t>
      </w:r>
    </w:p>
    <w:p>
      <w:pPr>
        <w:pStyle w:val="Heading2"/>
      </w:pPr>
      <w:r>
        <w:t>2.2 Main environments</w:t>
      </w:r>
    </w:p>
    <w:tbl>
      <w:tblPr>
        <w:tblStyle w:val="LightShading-Accent1"/>
        <w:tblW w:type="auto" w:w="0"/>
        <w:jc w:val="center"/>
        <w:tblLook w:firstColumn="1" w:firstRow="1" w:lastColumn="0" w:lastRow="0" w:noHBand="0" w:noVBand="1" w:val="04A0"/>
      </w:tblPr>
      <w:tblGrid>
        <w:gridCol w:w="3273"/>
        <w:gridCol w:w="3273"/>
        <w:gridCol w:w="3273"/>
      </w:tblGrid>
      <w:tr>
        <w:tc>
          <w:tcPr>
            <w:tcW w:type="dxa" w:w="3273"/>
            <w:shd w:fill="1B2029"/>
          </w:tcPr>
          <w:p>
            <w:r>
              <w:rPr>
                <w:b/>
                <w:color w:val="FFFFFF"/>
                <w:sz w:val="16"/>
              </w:rPr>
              <w:t>Environment</w:t>
            </w:r>
          </w:p>
        </w:tc>
        <w:tc>
          <w:tcPr>
            <w:tcW w:type="dxa" w:w="3273"/>
            <w:shd w:fill="1B2029"/>
          </w:tcPr>
          <w:p>
            <w:r>
              <w:rPr>
                <w:b/>
                <w:color w:val="FFFFFF"/>
                <w:sz w:val="16"/>
              </w:rPr>
              <w:t>Purpose</w:t>
            </w:r>
          </w:p>
        </w:tc>
        <w:tc>
          <w:tcPr>
            <w:tcW w:type="dxa" w:w="3273"/>
            <w:shd w:fill="1B2029"/>
          </w:tcPr>
          <w:p>
            <w:r>
              <w:rPr>
                <w:b/>
                <w:color w:val="FFFFFF"/>
                <w:sz w:val="16"/>
              </w:rPr>
              <w:t>Constraints</w:t>
            </w:r>
          </w:p>
        </w:tc>
      </w:tr>
      <w:tr>
        <w:tc>
          <w:tcPr>
            <w:tcW w:type="dxa" w:w="3273"/>
            <w:vAlign w:val="center"/>
          </w:tcPr>
          <w:p>
            <w:pPr>
              <w:spacing w:after="20"/>
            </w:pPr>
            <w:r>
              <w:rPr>
                <w:sz w:val="15"/>
              </w:rPr>
              <w:t>Local</w:t>
            </w:r>
          </w:p>
        </w:tc>
        <w:tc>
          <w:tcPr>
            <w:tcW w:type="dxa" w:w="3273"/>
            <w:vAlign w:val="center"/>
          </w:tcPr>
          <w:p>
            <w:pPr>
              <w:spacing w:after="20"/>
            </w:pPr>
            <w:r>
              <w:rPr>
                <w:sz w:val="15"/>
              </w:rPr>
              <w:t>Mock quotes, simulated wallet and deterministic unit tests</w:t>
            </w:r>
          </w:p>
        </w:tc>
        <w:tc>
          <w:tcPr>
            <w:tcW w:type="dxa" w:w="3273"/>
            <w:vAlign w:val="center"/>
          </w:tcPr>
          <w:p>
            <w:pPr>
              <w:spacing w:after="20"/>
            </w:pPr>
            <w:r>
              <w:rPr>
                <w:sz w:val="15"/>
              </w:rPr>
              <w:t>Never expose production API keys</w:t>
            </w:r>
          </w:p>
        </w:tc>
      </w:tr>
      <w:tr>
        <w:tc>
          <w:tcPr>
            <w:tcW w:type="dxa" w:w="3273"/>
            <w:vAlign w:val="center"/>
            <w:shd w:fill="F5F2EC"/>
          </w:tcPr>
          <w:p>
            <w:pPr>
              <w:spacing w:after="20"/>
            </w:pPr>
            <w:r>
              <w:rPr>
                <w:sz w:val="15"/>
              </w:rPr>
              <w:t>Staging</w:t>
            </w:r>
          </w:p>
        </w:tc>
        <w:tc>
          <w:tcPr>
            <w:tcW w:type="dxa" w:w="3273"/>
            <w:vAlign w:val="center"/>
            <w:shd w:fill="F5F2EC"/>
          </w:tcPr>
          <w:p>
            <w:pPr>
              <w:spacing w:after="20"/>
            </w:pPr>
            <w:r>
              <w:rPr>
                <w:sz w:val="15"/>
              </w:rPr>
              <w:t>Base Sepolia integrations and limited controlled Base mainnet test trades</w:t>
            </w:r>
          </w:p>
        </w:tc>
        <w:tc>
          <w:tcPr>
            <w:tcW w:type="dxa" w:w="3273"/>
            <w:vAlign w:val="center"/>
            <w:shd w:fill="F5F2EC"/>
          </w:tcPr>
          <w:p>
            <w:pPr>
              <w:spacing w:after="20"/>
            </w:pPr>
            <w:r>
              <w:rPr>
                <w:sz w:val="15"/>
              </w:rPr>
              <w:t>0x support on Sepolia must be verified; use mocked quote adapter if unavailable</w:t>
            </w:r>
          </w:p>
        </w:tc>
      </w:tr>
      <w:tr>
        <w:tc>
          <w:tcPr>
            <w:tcW w:type="dxa" w:w="3273"/>
            <w:vAlign w:val="center"/>
          </w:tcPr>
          <w:p>
            <w:pPr>
              <w:spacing w:after="20"/>
            </w:pPr>
            <w:r>
              <w:rPr>
                <w:sz w:val="15"/>
              </w:rPr>
              <w:t>Production</w:t>
            </w:r>
          </w:p>
        </w:tc>
        <w:tc>
          <w:tcPr>
            <w:tcW w:type="dxa" w:w="3273"/>
            <w:vAlign w:val="center"/>
          </w:tcPr>
          <w:p>
            <w:pPr>
              <w:spacing w:after="20"/>
            </w:pPr>
            <w:r>
              <w:rPr>
                <w:sz w:val="15"/>
              </w:rPr>
              <w:t>Base mainnet, approved asset allowlist, real 0x keys</w:t>
            </w:r>
          </w:p>
        </w:tc>
        <w:tc>
          <w:tcPr>
            <w:tcW w:type="dxa" w:w="3273"/>
            <w:vAlign w:val="center"/>
          </w:tcPr>
          <w:p>
            <w:pPr>
              <w:spacing w:after="20"/>
            </w:pPr>
            <w:r>
              <w:rPr>
                <w:sz w:val="15"/>
              </w:rPr>
              <w:t>Legal go-live approval, monitoring, incident runbooks</w:t>
            </w:r>
          </w:p>
        </w:tc>
      </w:tr>
    </w:tbl>
    <w:p/>
    <w:p>
      <w:pPr>
        <w:pStyle w:val="Heading1"/>
      </w:pPr>
      <w:r>
        <w:t>3. Functional requirements</w:t>
      </w:r>
    </w:p>
    <w:tbl>
      <w:tblPr>
        <w:tblStyle w:val="LightShading-Accent1"/>
        <w:tblW w:type="auto" w:w="0"/>
        <w:jc w:val="center"/>
        <w:tblLook w:firstColumn="1" w:firstRow="1" w:lastColumn="0" w:lastRow="0" w:noHBand="0" w:noVBand="1" w:val="04A0"/>
      </w:tblPr>
      <w:tblGrid>
        <w:gridCol w:w="3273"/>
        <w:gridCol w:w="3273"/>
        <w:gridCol w:w="3273"/>
      </w:tblGrid>
      <w:tr>
        <w:tc>
          <w:tcPr>
            <w:tcW w:type="dxa" w:w="1440"/>
            <w:shd w:fill="1B2029"/>
          </w:tcPr>
          <w:p>
            <w:r>
              <w:rPr>
                <w:b/>
                <w:color w:val="FFFFFF"/>
                <w:sz w:val="16"/>
              </w:rPr>
              <w:t>ID / Priority</w:t>
            </w:r>
          </w:p>
        </w:tc>
        <w:tc>
          <w:tcPr>
            <w:tcW w:type="dxa" w:w="2952"/>
            <w:shd w:fill="1B2029"/>
          </w:tcPr>
          <w:p>
            <w:r>
              <w:rPr>
                <w:b/>
                <w:color w:val="FFFFFF"/>
                <w:sz w:val="16"/>
              </w:rPr>
              <w:t>Requirement</w:t>
            </w:r>
          </w:p>
        </w:tc>
        <w:tc>
          <w:tcPr>
            <w:tcW w:type="dxa" w:w="4896"/>
            <w:shd w:fill="1B2029"/>
          </w:tcPr>
          <w:p>
            <w:r>
              <w:rPr>
                <w:b/>
                <w:color w:val="FFFFFF"/>
                <w:sz w:val="16"/>
              </w:rPr>
              <w:t>Definition of done</w:t>
            </w:r>
          </w:p>
        </w:tc>
      </w:tr>
      <w:tr>
        <w:tc>
          <w:tcPr>
            <w:tcW w:type="dxa" w:w="1440"/>
            <w:vAlign w:val="center"/>
          </w:tcPr>
          <w:p>
            <w:pPr>
              <w:spacing w:after="20"/>
            </w:pPr>
            <w:r>
              <w:rPr>
                <w:sz w:val="15"/>
              </w:rPr>
              <w:t>FR-01 / P0</w:t>
            </w:r>
          </w:p>
        </w:tc>
        <w:tc>
          <w:tcPr>
            <w:tcW w:type="dxa" w:w="2952"/>
            <w:vAlign w:val="center"/>
          </w:tcPr>
          <w:p>
            <w:pPr>
              <w:spacing w:after="20"/>
            </w:pPr>
            <w:r>
              <w:rPr>
                <w:sz w:val="15"/>
              </w:rPr>
              <w:t>Wallet connection</w:t>
            </w:r>
          </w:p>
        </w:tc>
        <w:tc>
          <w:tcPr>
            <w:tcW w:type="dxa" w:w="4896"/>
            <w:vAlign w:val="center"/>
          </w:tcPr>
          <w:p>
            <w:pPr>
              <w:spacing w:after="20"/>
            </w:pPr>
            <w:r>
              <w:rPr>
                <w:sz w:val="15"/>
              </w:rPr>
              <w:t>MetaMask, Coinbase Wallet, WalletConnect; connect/disconnect; account and chain visible</w:t>
            </w:r>
          </w:p>
        </w:tc>
      </w:tr>
      <w:tr>
        <w:tc>
          <w:tcPr>
            <w:tcW w:type="dxa" w:w="1440"/>
            <w:vAlign w:val="center"/>
            <w:shd w:fill="F5F2EC"/>
          </w:tcPr>
          <w:p>
            <w:pPr>
              <w:spacing w:after="20"/>
            </w:pPr>
            <w:r>
              <w:rPr>
                <w:sz w:val="15"/>
              </w:rPr>
              <w:t>FR-02 / P0</w:t>
            </w:r>
          </w:p>
        </w:tc>
        <w:tc>
          <w:tcPr>
            <w:tcW w:type="dxa" w:w="2952"/>
            <w:vAlign w:val="center"/>
            <w:shd w:fill="F5F2EC"/>
          </w:tcPr>
          <w:p>
            <w:pPr>
              <w:spacing w:after="20"/>
            </w:pPr>
            <w:r>
              <w:rPr>
                <w:sz w:val="15"/>
              </w:rPr>
              <w:t>Network check</w:t>
            </w:r>
          </w:p>
        </w:tc>
        <w:tc>
          <w:tcPr>
            <w:tcW w:type="dxa" w:w="4896"/>
            <w:vAlign w:val="center"/>
            <w:shd w:fill="F5F2EC"/>
          </w:tcPr>
          <w:p>
            <w:pPr>
              <w:spacing w:after="20"/>
            </w:pPr>
            <w:r>
              <w:rPr>
                <w:sz w:val="15"/>
              </w:rPr>
              <w:t>Reject or prompt switch on non-8453 chain; do not quote cross-chain transactions</w:t>
            </w:r>
          </w:p>
        </w:tc>
      </w:tr>
      <w:tr>
        <w:tc>
          <w:tcPr>
            <w:tcW w:type="dxa" w:w="1440"/>
            <w:vAlign w:val="center"/>
          </w:tcPr>
          <w:p>
            <w:pPr>
              <w:spacing w:after="20"/>
            </w:pPr>
            <w:r>
              <w:rPr>
                <w:sz w:val="15"/>
              </w:rPr>
              <w:t>FR-03 / P0</w:t>
            </w:r>
          </w:p>
        </w:tc>
        <w:tc>
          <w:tcPr>
            <w:tcW w:type="dxa" w:w="2952"/>
            <w:vAlign w:val="center"/>
          </w:tcPr>
          <w:p>
            <w:pPr>
              <w:spacing w:after="20"/>
            </w:pPr>
            <w:r>
              <w:rPr>
                <w:sz w:val="15"/>
              </w:rPr>
              <w:t>Token catalog</w:t>
            </w:r>
          </w:p>
        </w:tc>
        <w:tc>
          <w:tcPr>
            <w:tcW w:type="dxa" w:w="4896"/>
            <w:vAlign w:val="center"/>
          </w:tcPr>
          <w:p>
            <w:pPr>
              <w:spacing w:after="20"/>
            </w:pPr>
            <w:r>
              <w:rPr>
                <w:sz w:val="15"/>
              </w:rPr>
              <w:t>Only reviewed Base contracts with verified decimals/symbol/logo; admin-controlled versioned list</w:t>
            </w:r>
          </w:p>
        </w:tc>
      </w:tr>
      <w:tr>
        <w:tc>
          <w:tcPr>
            <w:tcW w:type="dxa" w:w="1440"/>
            <w:vAlign w:val="center"/>
            <w:shd w:fill="F5F2EC"/>
          </w:tcPr>
          <w:p>
            <w:pPr>
              <w:spacing w:after="20"/>
            </w:pPr>
            <w:r>
              <w:rPr>
                <w:sz w:val="15"/>
              </w:rPr>
              <w:t>FR-04 / P0</w:t>
            </w:r>
          </w:p>
        </w:tc>
        <w:tc>
          <w:tcPr>
            <w:tcW w:type="dxa" w:w="2952"/>
            <w:vAlign w:val="center"/>
            <w:shd w:fill="F5F2EC"/>
          </w:tcPr>
          <w:p>
            <w:pPr>
              <w:spacing w:after="20"/>
            </w:pPr>
            <w:r>
              <w:rPr>
                <w:sz w:val="15"/>
              </w:rPr>
              <w:t>Balances</w:t>
            </w:r>
          </w:p>
        </w:tc>
        <w:tc>
          <w:tcPr>
            <w:tcW w:type="dxa" w:w="4896"/>
            <w:vAlign w:val="center"/>
            <w:shd w:fill="F5F2EC"/>
          </w:tcPr>
          <w:p>
            <w:pPr>
              <w:spacing w:after="20"/>
            </w:pPr>
            <w:r>
              <w:rPr>
                <w:sz w:val="15"/>
              </w:rPr>
              <w:t>ETH and ERC-20 balances refreshed on account, chain and receipt change</w:t>
            </w:r>
          </w:p>
        </w:tc>
      </w:tr>
      <w:tr>
        <w:tc>
          <w:tcPr>
            <w:tcW w:type="dxa" w:w="1440"/>
            <w:vAlign w:val="center"/>
          </w:tcPr>
          <w:p>
            <w:pPr>
              <w:spacing w:after="20"/>
            </w:pPr>
            <w:r>
              <w:rPr>
                <w:sz w:val="15"/>
              </w:rPr>
              <w:t>FR-05 / P0</w:t>
            </w:r>
          </w:p>
        </w:tc>
        <w:tc>
          <w:tcPr>
            <w:tcW w:type="dxa" w:w="2952"/>
            <w:vAlign w:val="center"/>
          </w:tcPr>
          <w:p>
            <w:pPr>
              <w:spacing w:after="20"/>
            </w:pPr>
            <w:r>
              <w:rPr>
                <w:sz w:val="15"/>
              </w:rPr>
              <w:t>Indicative price</w:t>
            </w:r>
          </w:p>
        </w:tc>
        <w:tc>
          <w:tcPr>
            <w:tcW w:type="dxa" w:w="4896"/>
            <w:vAlign w:val="center"/>
          </w:tcPr>
          <w:p>
            <w:pPr>
              <w:spacing w:after="20"/>
            </w:pPr>
            <w:r>
              <w:rPr>
                <w:sz w:val="15"/>
              </w:rPr>
              <w:t>Debounced price quotes; stale quotes clearly marked; handle insufficient liquidity</w:t>
            </w:r>
          </w:p>
        </w:tc>
      </w:tr>
      <w:tr>
        <w:tc>
          <w:tcPr>
            <w:tcW w:type="dxa" w:w="1440"/>
            <w:vAlign w:val="center"/>
            <w:shd w:fill="F5F2EC"/>
          </w:tcPr>
          <w:p>
            <w:pPr>
              <w:spacing w:after="20"/>
            </w:pPr>
            <w:r>
              <w:rPr>
                <w:sz w:val="15"/>
              </w:rPr>
              <w:t>FR-06 / P0</w:t>
            </w:r>
          </w:p>
        </w:tc>
        <w:tc>
          <w:tcPr>
            <w:tcW w:type="dxa" w:w="2952"/>
            <w:vAlign w:val="center"/>
            <w:shd w:fill="F5F2EC"/>
          </w:tcPr>
          <w:p>
            <w:pPr>
              <w:spacing w:after="20"/>
            </w:pPr>
            <w:r>
              <w:rPr>
                <w:sz w:val="15"/>
              </w:rPr>
              <w:t>Firm quote/preview</w:t>
            </w:r>
          </w:p>
        </w:tc>
        <w:tc>
          <w:tcPr>
            <w:tcW w:type="dxa" w:w="4896"/>
            <w:vAlign w:val="center"/>
            <w:shd w:fill="F5F2EC"/>
          </w:tcPr>
          <w:p>
            <w:pPr>
              <w:spacing w:after="20"/>
            </w:pPr>
            <w:r>
              <w:rPr>
                <w:sz w:val="15"/>
              </w:rPr>
              <w:t>Display sell/buy amounts, provider fee, RomaSwap fee, estimated gas, price impact where obtainable, slippage and min received</w:t>
            </w:r>
          </w:p>
        </w:tc>
      </w:tr>
      <w:tr>
        <w:tc>
          <w:tcPr>
            <w:tcW w:type="dxa" w:w="1440"/>
            <w:vAlign w:val="center"/>
          </w:tcPr>
          <w:p>
            <w:pPr>
              <w:spacing w:after="20"/>
            </w:pPr>
            <w:r>
              <w:rPr>
                <w:sz w:val="15"/>
              </w:rPr>
              <w:t>FR-07 / P0</w:t>
            </w:r>
          </w:p>
        </w:tc>
        <w:tc>
          <w:tcPr>
            <w:tcW w:type="dxa" w:w="2952"/>
            <w:vAlign w:val="center"/>
          </w:tcPr>
          <w:p>
            <w:pPr>
              <w:spacing w:after="20"/>
            </w:pPr>
            <w:r>
              <w:rPr>
                <w:sz w:val="15"/>
              </w:rPr>
              <w:t>Allowance</w:t>
            </w:r>
          </w:p>
        </w:tc>
        <w:tc>
          <w:tcPr>
            <w:tcW w:type="dxa" w:w="4896"/>
            <w:vAlign w:val="center"/>
          </w:tcPr>
          <w:p>
            <w:pPr>
              <w:spacing w:after="20"/>
            </w:pPr>
            <w:r>
              <w:rPr>
                <w:sz w:val="15"/>
              </w:rPr>
              <w:t>ERC-20 allowance checked; approval only to provider-specified AllowanceHolder spender</w:t>
            </w:r>
          </w:p>
        </w:tc>
      </w:tr>
      <w:tr>
        <w:tc>
          <w:tcPr>
            <w:tcW w:type="dxa" w:w="1440"/>
            <w:vAlign w:val="center"/>
            <w:shd w:fill="F5F2EC"/>
          </w:tcPr>
          <w:p>
            <w:pPr>
              <w:spacing w:after="20"/>
            </w:pPr>
            <w:r>
              <w:rPr>
                <w:sz w:val="15"/>
              </w:rPr>
              <w:t>FR-08 / P0</w:t>
            </w:r>
          </w:p>
        </w:tc>
        <w:tc>
          <w:tcPr>
            <w:tcW w:type="dxa" w:w="2952"/>
            <w:vAlign w:val="center"/>
            <w:shd w:fill="F5F2EC"/>
          </w:tcPr>
          <w:p>
            <w:pPr>
              <w:spacing w:after="20"/>
            </w:pPr>
            <w:r>
              <w:rPr>
                <w:sz w:val="15"/>
              </w:rPr>
              <w:t>Execution</w:t>
            </w:r>
          </w:p>
        </w:tc>
        <w:tc>
          <w:tcPr>
            <w:tcW w:type="dxa" w:w="4896"/>
            <w:vAlign w:val="center"/>
            <w:shd w:fill="F5F2EC"/>
          </w:tcPr>
          <w:p>
            <w:pPr>
              <w:spacing w:after="20"/>
            </w:pPr>
            <w:r>
              <w:rPr>
                <w:sz w:val="15"/>
              </w:rPr>
              <w:t>User signs; broadcast transaction; pending, confirmed, reverted, rejected states</w:t>
            </w:r>
          </w:p>
        </w:tc>
      </w:tr>
      <w:tr>
        <w:tc>
          <w:tcPr>
            <w:tcW w:type="dxa" w:w="1440"/>
            <w:vAlign w:val="center"/>
          </w:tcPr>
          <w:p>
            <w:pPr>
              <w:spacing w:after="20"/>
            </w:pPr>
            <w:r>
              <w:rPr>
                <w:sz w:val="15"/>
              </w:rPr>
              <w:t>FR-09 / P0</w:t>
            </w:r>
          </w:p>
        </w:tc>
        <w:tc>
          <w:tcPr>
            <w:tcW w:type="dxa" w:w="2952"/>
            <w:vAlign w:val="center"/>
          </w:tcPr>
          <w:p>
            <w:pPr>
              <w:spacing w:after="20"/>
            </w:pPr>
            <w:r>
              <w:rPr>
                <w:sz w:val="15"/>
              </w:rPr>
              <w:t>History</w:t>
            </w:r>
          </w:p>
        </w:tc>
        <w:tc>
          <w:tcPr>
            <w:tcW w:type="dxa" w:w="4896"/>
            <w:vAlign w:val="center"/>
          </w:tcPr>
          <w:p>
            <w:pPr>
              <w:spacing w:after="20"/>
            </w:pPr>
            <w:r>
              <w:rPr>
                <w:sz w:val="15"/>
              </w:rPr>
              <w:t>Wallet-based recent transaction history with BaseScan links and actual receipt status</w:t>
            </w:r>
          </w:p>
        </w:tc>
      </w:tr>
      <w:tr>
        <w:tc>
          <w:tcPr>
            <w:tcW w:type="dxa" w:w="1440"/>
            <w:vAlign w:val="center"/>
            <w:shd w:fill="F5F2EC"/>
          </w:tcPr>
          <w:p>
            <w:pPr>
              <w:spacing w:after="20"/>
            </w:pPr>
            <w:r>
              <w:rPr>
                <w:sz w:val="15"/>
              </w:rPr>
              <w:t>FR-10 / P0</w:t>
            </w:r>
          </w:p>
        </w:tc>
        <w:tc>
          <w:tcPr>
            <w:tcW w:type="dxa" w:w="2952"/>
            <w:vAlign w:val="center"/>
            <w:shd w:fill="F5F2EC"/>
          </w:tcPr>
          <w:p>
            <w:pPr>
              <w:spacing w:after="20"/>
            </w:pPr>
            <w:r>
              <w:rPr>
                <w:sz w:val="15"/>
              </w:rPr>
              <w:t>Fee transparency</w:t>
            </w:r>
          </w:p>
        </w:tc>
        <w:tc>
          <w:tcPr>
            <w:tcW w:type="dxa" w:w="4896"/>
            <w:vAlign w:val="center"/>
            <w:shd w:fill="F5F2EC"/>
          </w:tcPr>
          <w:p>
            <w:pPr>
              <w:spacing w:after="20"/>
            </w:pPr>
            <w:r>
              <w:rPr>
                <w:sz w:val="15"/>
              </w:rPr>
              <w:t>Exact configured fee and quote-returned amounts shown prior to user signing</w:t>
            </w:r>
          </w:p>
        </w:tc>
      </w:tr>
      <w:tr>
        <w:tc>
          <w:tcPr>
            <w:tcW w:type="dxa" w:w="1440"/>
            <w:vAlign w:val="center"/>
          </w:tcPr>
          <w:p>
            <w:pPr>
              <w:spacing w:after="20"/>
            </w:pPr>
            <w:r>
              <w:rPr>
                <w:sz w:val="15"/>
              </w:rPr>
              <w:t>FR-11 / P1</w:t>
            </w:r>
          </w:p>
        </w:tc>
        <w:tc>
          <w:tcPr>
            <w:tcW w:type="dxa" w:w="2952"/>
            <w:vAlign w:val="center"/>
          </w:tcPr>
          <w:p>
            <w:pPr>
              <w:spacing w:after="20"/>
            </w:pPr>
            <w:r>
              <w:rPr>
                <w:sz w:val="15"/>
              </w:rPr>
              <w:t>Admin analytics</w:t>
            </w:r>
          </w:p>
        </w:tc>
        <w:tc>
          <w:tcPr>
            <w:tcW w:type="dxa" w:w="4896"/>
            <w:vAlign w:val="center"/>
          </w:tcPr>
          <w:p>
            <w:pPr>
              <w:spacing w:after="20"/>
            </w:pPr>
            <w:r>
              <w:rPr>
                <w:sz w:val="15"/>
              </w:rPr>
              <w:t>Quotes, attempted/confirmed/reverted swaps, fee reconciliation and alerting</w:t>
            </w:r>
          </w:p>
        </w:tc>
      </w:tr>
      <w:tr>
        <w:tc>
          <w:tcPr>
            <w:tcW w:type="dxa" w:w="1440"/>
            <w:vAlign w:val="center"/>
            <w:shd w:fill="F5F2EC"/>
          </w:tcPr>
          <w:p>
            <w:pPr>
              <w:spacing w:after="20"/>
            </w:pPr>
            <w:r>
              <w:rPr>
                <w:sz w:val="15"/>
              </w:rPr>
              <w:t>FR-12 / P0</w:t>
            </w:r>
          </w:p>
        </w:tc>
        <w:tc>
          <w:tcPr>
            <w:tcW w:type="dxa" w:w="2952"/>
            <w:vAlign w:val="center"/>
            <w:shd w:fill="F5F2EC"/>
          </w:tcPr>
          <w:p>
            <w:pPr>
              <w:spacing w:after="20"/>
            </w:pPr>
            <w:r>
              <w:rPr>
                <w:sz w:val="15"/>
              </w:rPr>
              <w:t>Accessibility/responsiveness</w:t>
            </w:r>
          </w:p>
        </w:tc>
        <w:tc>
          <w:tcPr>
            <w:tcW w:type="dxa" w:w="4896"/>
            <w:vAlign w:val="center"/>
            <w:shd w:fill="F5F2EC"/>
          </w:tcPr>
          <w:p>
            <w:pPr>
              <w:spacing w:after="20"/>
            </w:pPr>
            <w:r>
              <w:rPr>
                <w:sz w:val="15"/>
              </w:rPr>
              <w:t>Mobile 360px and desktop 1440px layouts, keyboard accessible controls</w:t>
            </w:r>
          </w:p>
        </w:tc>
      </w:tr>
      <w:tr>
        <w:tc>
          <w:tcPr>
            <w:tcW w:type="dxa" w:w="1440"/>
            <w:vAlign w:val="center"/>
          </w:tcPr>
          <w:p>
            <w:pPr>
              <w:spacing w:after="20"/>
            </w:pPr>
            <w:r>
              <w:rPr>
                <w:sz w:val="15"/>
              </w:rPr>
              <w:t>FR-13 / P0</w:t>
            </w:r>
          </w:p>
        </w:tc>
        <w:tc>
          <w:tcPr>
            <w:tcW w:type="dxa" w:w="2952"/>
            <w:vAlign w:val="center"/>
          </w:tcPr>
          <w:p>
            <w:pPr>
              <w:spacing w:after="20"/>
            </w:pPr>
            <w:r>
              <w:rPr>
                <w:sz w:val="15"/>
              </w:rPr>
              <w:t>Safe failure</w:t>
            </w:r>
          </w:p>
        </w:tc>
        <w:tc>
          <w:tcPr>
            <w:tcW w:type="dxa" w:w="4896"/>
            <w:vAlign w:val="center"/>
          </w:tcPr>
          <w:p>
            <w:pPr>
              <w:spacing w:after="20"/>
            </w:pPr>
            <w:r>
              <w:rPr>
                <w:sz w:val="15"/>
              </w:rPr>
              <w:t>Reject unsupported token/chain, malformed quotes, unsafe spender, or stale execution</w:t>
            </w:r>
          </w:p>
        </w:tc>
      </w:tr>
    </w:tbl>
    <w:p/>
    <w:p>
      <w:pPr>
        <w:pStyle w:val="Heading2"/>
      </w:pPr>
      <w:r>
        <w:t>3.1 Interface states</w:t>
      </w:r>
    </w:p>
    <w:p>
      <w:r>
        <w:t>Disconnected → Connected/unsupported chain → Editing pair/amount → Indicative quote → Ready for final quote → Approval required (ERC-20 only) → Awaiting wallet signature → Submitted/pending → Confirmed or Reverted. Cancellation, provider outage, insufficient gas, insufficient token balance, expired quote, unsupported pair and rate limiting each require a specific user-facing message.</w:t>
      </w:r>
    </w:p>
    <w:p>
      <w:pPr>
        <w:pStyle w:val="Heading1"/>
      </w:pPr>
      <w:r>
        <w:t>4. 0x API integration contract</w:t>
      </w:r>
    </w:p>
    <w:p>
      <w:r>
        <w:t>Use the official 0x Swap API v2 AllowanceHolder integration for the first release. All 0x requests originate from the server-side proxy using headers 0x-api-key and 0x-version: v2. The frontend never receives the API key. Base chainId is 8453. The 0x response and deployment allowlists, not hardcoded assumptions, supply approval targets.</w:t>
      </w:r>
    </w:p>
    <w:tbl>
      <w:tblPr>
        <w:tblStyle w:val="LightShading-Accent1"/>
        <w:tblW w:type="auto" w:w="0"/>
        <w:jc w:val="center"/>
        <w:tblLook w:firstColumn="1" w:firstRow="1" w:lastColumn="0" w:lastRow="0" w:noHBand="0" w:noVBand="1" w:val="04A0"/>
      </w:tblPr>
      <w:tblGrid>
        <w:gridCol w:w="3273"/>
        <w:gridCol w:w="3273"/>
        <w:gridCol w:w="3273"/>
      </w:tblGrid>
      <w:tr>
        <w:tc>
          <w:tcPr>
            <w:tcW w:type="dxa" w:w="720"/>
            <w:shd w:fill="1B2029"/>
          </w:tcPr>
          <w:p>
            <w:r>
              <w:rPr>
                <w:b/>
                <w:color w:val="FFFFFF"/>
                <w:sz w:val="16"/>
              </w:rPr>
              <w:t>Step</w:t>
            </w:r>
          </w:p>
        </w:tc>
        <w:tc>
          <w:tcPr>
            <w:tcW w:type="dxa" w:w="4608"/>
            <w:shd w:fill="1B2029"/>
          </w:tcPr>
          <w:p>
            <w:r>
              <w:rPr>
                <w:b/>
                <w:color w:val="FFFFFF"/>
                <w:sz w:val="16"/>
              </w:rPr>
              <w:t>Action</w:t>
            </w:r>
          </w:p>
        </w:tc>
        <w:tc>
          <w:tcPr>
            <w:tcW w:type="dxa" w:w="3960"/>
            <w:shd w:fill="1B2029"/>
          </w:tcPr>
          <w:p>
            <w:r>
              <w:rPr>
                <w:b/>
                <w:color w:val="FFFFFF"/>
                <w:sz w:val="16"/>
              </w:rPr>
              <w:t>API / protocol</w:t>
            </w:r>
          </w:p>
        </w:tc>
      </w:tr>
      <w:tr>
        <w:tc>
          <w:tcPr>
            <w:tcW w:type="dxa" w:w="720"/>
            <w:vAlign w:val="center"/>
          </w:tcPr>
          <w:p>
            <w:pPr>
              <w:spacing w:after="20"/>
            </w:pPr>
            <w:r>
              <w:rPr>
                <w:sz w:val="15"/>
              </w:rPr>
              <w:t>1</w:t>
            </w:r>
          </w:p>
        </w:tc>
        <w:tc>
          <w:tcPr>
            <w:tcW w:type="dxa" w:w="4608"/>
            <w:vAlign w:val="center"/>
          </w:tcPr>
          <w:p>
            <w:pPr>
              <w:spacing w:after="20"/>
            </w:pPr>
            <w:r>
              <w:rPr>
                <w:sz w:val="15"/>
              </w:rPr>
              <w:t>Collect sellToken, buyToken, base-unit sellAmount, taker address, slippage and platform fee configuration</w:t>
            </w:r>
          </w:p>
        </w:tc>
        <w:tc>
          <w:tcPr>
            <w:tcW w:type="dxa" w:w="3960"/>
            <w:vAlign w:val="center"/>
          </w:tcPr>
          <w:p>
            <w:pPr>
              <w:spacing w:after="20"/>
            </w:pPr>
            <w:r>
              <w:rPr>
                <w:sz w:val="15"/>
              </w:rPr>
              <w:t>Frontend validation; decimals from trusted token config</w:t>
            </w:r>
          </w:p>
        </w:tc>
      </w:tr>
      <w:tr>
        <w:tc>
          <w:tcPr>
            <w:tcW w:type="dxa" w:w="720"/>
            <w:vAlign w:val="center"/>
            <w:shd w:fill="F5F2EC"/>
          </w:tcPr>
          <w:p>
            <w:pPr>
              <w:spacing w:after="20"/>
            </w:pPr>
            <w:r>
              <w:rPr>
                <w:sz w:val="15"/>
              </w:rPr>
              <w:t>2</w:t>
            </w:r>
          </w:p>
        </w:tc>
        <w:tc>
          <w:tcPr>
            <w:tcW w:type="dxa" w:w="4608"/>
            <w:vAlign w:val="center"/>
            <w:shd w:fill="F5F2EC"/>
          </w:tcPr>
          <w:p>
            <w:pPr>
              <w:spacing w:after="20"/>
            </w:pPr>
            <w:r>
              <w:rPr>
                <w:sz w:val="15"/>
              </w:rPr>
              <w:t>Request indicative pricing with chainId=8453</w:t>
            </w:r>
          </w:p>
        </w:tc>
        <w:tc>
          <w:tcPr>
            <w:tcW w:type="dxa" w:w="3960"/>
            <w:vAlign w:val="center"/>
            <w:shd w:fill="F5F2EC"/>
          </w:tcPr>
          <w:p>
            <w:pPr>
              <w:spacing w:after="20"/>
            </w:pPr>
            <w:r>
              <w:rPr>
                <w:sz w:val="15"/>
              </w:rPr>
              <w:t>GET /swap/allowance-holder/price</w:t>
            </w:r>
          </w:p>
        </w:tc>
      </w:tr>
      <w:tr>
        <w:tc>
          <w:tcPr>
            <w:tcW w:type="dxa" w:w="720"/>
            <w:vAlign w:val="center"/>
          </w:tcPr>
          <w:p>
            <w:pPr>
              <w:spacing w:after="20"/>
            </w:pPr>
            <w:r>
              <w:rPr>
                <w:sz w:val="15"/>
              </w:rPr>
              <w:t>3</w:t>
            </w:r>
          </w:p>
        </w:tc>
        <w:tc>
          <w:tcPr>
            <w:tcW w:type="dxa" w:w="4608"/>
            <w:vAlign w:val="center"/>
          </w:tcPr>
          <w:p>
            <w:pPr>
              <w:spacing w:after="20"/>
            </w:pPr>
            <w:r>
              <w:rPr>
                <w:sz w:val="15"/>
              </w:rPr>
              <w:t>Check ERC-20 balance/allowance; if required, display spender and amount and request user approval</w:t>
            </w:r>
          </w:p>
        </w:tc>
        <w:tc>
          <w:tcPr>
            <w:tcW w:type="dxa" w:w="3960"/>
            <w:vAlign w:val="center"/>
          </w:tcPr>
          <w:p>
            <w:pPr>
              <w:spacing w:after="20"/>
            </w:pPr>
            <w:r>
              <w:rPr>
                <w:sz w:val="15"/>
              </w:rPr>
              <w:t>viem readContract / wallet writeContract</w:t>
            </w:r>
          </w:p>
        </w:tc>
      </w:tr>
      <w:tr>
        <w:tc>
          <w:tcPr>
            <w:tcW w:type="dxa" w:w="720"/>
            <w:vAlign w:val="center"/>
            <w:shd w:fill="F5F2EC"/>
          </w:tcPr>
          <w:p>
            <w:pPr>
              <w:spacing w:after="20"/>
            </w:pPr>
            <w:r>
              <w:rPr>
                <w:sz w:val="15"/>
              </w:rPr>
              <w:t>4</w:t>
            </w:r>
          </w:p>
        </w:tc>
        <w:tc>
          <w:tcPr>
            <w:tcW w:type="dxa" w:w="4608"/>
            <w:vAlign w:val="center"/>
            <w:shd w:fill="F5F2EC"/>
          </w:tcPr>
          <w:p>
            <w:pPr>
              <w:spacing w:after="20"/>
            </w:pPr>
            <w:r>
              <w:rPr>
                <w:sz w:val="15"/>
              </w:rPr>
              <w:t>Request firm executable quote immediately before signing</w:t>
            </w:r>
          </w:p>
        </w:tc>
        <w:tc>
          <w:tcPr>
            <w:tcW w:type="dxa" w:w="3960"/>
            <w:vAlign w:val="center"/>
            <w:shd w:fill="F5F2EC"/>
          </w:tcPr>
          <w:p>
            <w:pPr>
              <w:spacing w:after="20"/>
            </w:pPr>
            <w:r>
              <w:rPr>
                <w:sz w:val="15"/>
              </w:rPr>
              <w:t>GET /swap/allowance-holder/quote</w:t>
            </w:r>
          </w:p>
        </w:tc>
      </w:tr>
      <w:tr>
        <w:tc>
          <w:tcPr>
            <w:tcW w:type="dxa" w:w="720"/>
            <w:vAlign w:val="center"/>
          </w:tcPr>
          <w:p>
            <w:pPr>
              <w:spacing w:after="20"/>
            </w:pPr>
            <w:r>
              <w:rPr>
                <w:sz w:val="15"/>
              </w:rPr>
              <w:t>5</w:t>
            </w:r>
          </w:p>
        </w:tc>
        <w:tc>
          <w:tcPr>
            <w:tcW w:type="dxa" w:w="4608"/>
            <w:vAlign w:val="center"/>
          </w:tcPr>
          <w:p>
            <w:pPr>
              <w:spacing w:after="20"/>
            </w:pPr>
            <w:r>
              <w:rPr>
                <w:sz w:val="15"/>
              </w:rPr>
              <w:t>Validate response chain, taker, token pair, target/spender, payload integrity and displayed fees</w:t>
            </w:r>
          </w:p>
        </w:tc>
        <w:tc>
          <w:tcPr>
            <w:tcW w:type="dxa" w:w="3960"/>
            <w:vAlign w:val="center"/>
          </w:tcPr>
          <w:p>
            <w:pPr>
              <w:spacing w:after="20"/>
            </w:pPr>
            <w:r>
              <w:rPr>
                <w:sz w:val="15"/>
              </w:rPr>
              <w:t>RomaSwap validation layer</w:t>
            </w:r>
          </w:p>
        </w:tc>
      </w:tr>
      <w:tr>
        <w:tc>
          <w:tcPr>
            <w:tcW w:type="dxa" w:w="720"/>
            <w:vAlign w:val="center"/>
            <w:shd w:fill="F5F2EC"/>
          </w:tcPr>
          <w:p>
            <w:pPr>
              <w:spacing w:after="20"/>
            </w:pPr>
            <w:r>
              <w:rPr>
                <w:sz w:val="15"/>
              </w:rPr>
              <w:t>6</w:t>
            </w:r>
          </w:p>
        </w:tc>
        <w:tc>
          <w:tcPr>
            <w:tcW w:type="dxa" w:w="4608"/>
            <w:vAlign w:val="center"/>
            <w:shd w:fill="F5F2EC"/>
          </w:tcPr>
          <w:p>
            <w:pPr>
              <w:spacing w:after="20"/>
            </w:pPr>
            <w:r>
              <w:rPr>
                <w:sz w:val="15"/>
              </w:rPr>
              <w:t>Send returned unsigned transaction to user wallet</w:t>
            </w:r>
          </w:p>
        </w:tc>
        <w:tc>
          <w:tcPr>
            <w:tcW w:type="dxa" w:w="3960"/>
            <w:vAlign w:val="center"/>
            <w:shd w:fill="F5F2EC"/>
          </w:tcPr>
          <w:p>
            <w:pPr>
              <w:spacing w:after="20"/>
            </w:pPr>
            <w:r>
              <w:rPr>
                <w:sz w:val="15"/>
              </w:rPr>
              <w:t>walletClient.sendTransaction / wagmi</w:t>
            </w:r>
          </w:p>
        </w:tc>
      </w:tr>
      <w:tr>
        <w:tc>
          <w:tcPr>
            <w:tcW w:type="dxa" w:w="720"/>
            <w:vAlign w:val="center"/>
          </w:tcPr>
          <w:p>
            <w:pPr>
              <w:spacing w:after="20"/>
            </w:pPr>
            <w:r>
              <w:rPr>
                <w:sz w:val="15"/>
              </w:rPr>
              <w:t>7</w:t>
            </w:r>
          </w:p>
        </w:tc>
        <w:tc>
          <w:tcPr>
            <w:tcW w:type="dxa" w:w="4608"/>
            <w:vAlign w:val="center"/>
          </w:tcPr>
          <w:p>
            <w:pPr>
              <w:spacing w:after="20"/>
            </w:pPr>
            <w:r>
              <w:rPr>
                <w:sz w:val="15"/>
              </w:rPr>
              <w:t>Watch receipt, reconcile realized swap and annotate result</w:t>
            </w:r>
          </w:p>
        </w:tc>
        <w:tc>
          <w:tcPr>
            <w:tcW w:type="dxa" w:w="3960"/>
            <w:vAlign w:val="center"/>
          </w:tcPr>
          <w:p>
            <w:pPr>
              <w:spacing w:after="20"/>
            </w:pPr>
            <w:r>
              <w:rPr>
                <w:sz w:val="15"/>
              </w:rPr>
              <w:t>waitForTransactionReceipt + indexer</w:t>
            </w:r>
          </w:p>
        </w:tc>
      </w:tr>
    </w:tbl>
    <w:p/>
    <w:p>
      <w:pPr>
        <w:pStyle w:val="Heading2"/>
      </w:pPr>
      <w:r>
        <w:t>4.1 Backend API proposal</w:t>
      </w:r>
    </w:p>
    <w:tbl>
      <w:tblPr>
        <w:tblStyle w:val="LightShading-Accent1"/>
        <w:tblW w:type="auto" w:w="0"/>
        <w:jc w:val="center"/>
        <w:tblLook w:firstColumn="1" w:firstRow="1" w:lastColumn="0" w:lastRow="0" w:noHBand="0" w:noVBand="1" w:val="04A0"/>
      </w:tblPr>
      <w:tblGrid>
        <w:gridCol w:w="3273"/>
        <w:gridCol w:w="3273"/>
        <w:gridCol w:w="3273"/>
      </w:tblGrid>
      <w:tr>
        <w:tc>
          <w:tcPr>
            <w:tcW w:type="dxa" w:w="2088"/>
            <w:shd w:fill="1B2029"/>
          </w:tcPr>
          <w:p>
            <w:r>
              <w:rPr>
                <w:b/>
                <w:color w:val="FFFFFF"/>
                <w:sz w:val="16"/>
              </w:rPr>
              <w:t>Route</w:t>
            </w:r>
          </w:p>
        </w:tc>
        <w:tc>
          <w:tcPr>
            <w:tcW w:type="dxa" w:w="2952"/>
            <w:shd w:fill="1B2029"/>
          </w:tcPr>
          <w:p>
            <w:r>
              <w:rPr>
                <w:b/>
                <w:color w:val="FFFFFF"/>
                <w:sz w:val="16"/>
              </w:rPr>
              <w:t>Input</w:t>
            </w:r>
          </w:p>
        </w:tc>
        <w:tc>
          <w:tcPr>
            <w:tcW w:type="dxa" w:w="4320"/>
            <w:shd w:fill="1B2029"/>
          </w:tcPr>
          <w:p>
            <w:r>
              <w:rPr>
                <w:b/>
                <w:color w:val="FFFFFF"/>
                <w:sz w:val="16"/>
              </w:rPr>
              <w:t>Output / controls</w:t>
            </w:r>
          </w:p>
        </w:tc>
      </w:tr>
      <w:tr>
        <w:tc>
          <w:tcPr>
            <w:tcW w:type="dxa" w:w="2088"/>
            <w:vAlign w:val="center"/>
          </w:tcPr>
          <w:p>
            <w:pPr>
              <w:spacing w:after="20"/>
            </w:pPr>
            <w:r>
              <w:rPr>
                <w:sz w:val="15"/>
              </w:rPr>
              <w:t>GET /api/tokens</w:t>
            </w:r>
          </w:p>
        </w:tc>
        <w:tc>
          <w:tcPr>
            <w:tcW w:type="dxa" w:w="2952"/>
            <w:vAlign w:val="center"/>
          </w:tcPr>
          <w:p>
            <w:pPr>
              <w:spacing w:after="20"/>
            </w:pPr>
            <w:r>
              <w:rPr>
                <w:sz w:val="15"/>
              </w:rPr>
              <w:t>chainId (must equal 8453)</w:t>
            </w:r>
          </w:p>
        </w:tc>
        <w:tc>
          <w:tcPr>
            <w:tcW w:type="dxa" w:w="4320"/>
            <w:vAlign w:val="center"/>
          </w:tcPr>
          <w:p>
            <w:pPr>
              <w:spacing w:after="20"/>
            </w:pPr>
            <w:r>
              <w:rPr>
                <w:sz w:val="15"/>
              </w:rPr>
              <w:t>Signed/versioned allowlist: address, decimals, icon, risk metadata</w:t>
            </w:r>
          </w:p>
        </w:tc>
      </w:tr>
      <w:tr>
        <w:tc>
          <w:tcPr>
            <w:tcW w:type="dxa" w:w="2088"/>
            <w:vAlign w:val="center"/>
            <w:shd w:fill="F5F2EC"/>
          </w:tcPr>
          <w:p>
            <w:pPr>
              <w:spacing w:after="20"/>
            </w:pPr>
            <w:r>
              <w:rPr>
                <w:sz w:val="15"/>
              </w:rPr>
              <w:t>POST /api/swap/price</w:t>
            </w:r>
          </w:p>
        </w:tc>
        <w:tc>
          <w:tcPr>
            <w:tcW w:type="dxa" w:w="2952"/>
            <w:vAlign w:val="center"/>
            <w:shd w:fill="F5F2EC"/>
          </w:tcPr>
          <w:p>
            <w:pPr>
              <w:spacing w:after="20"/>
            </w:pPr>
            <w:r>
              <w:rPr>
                <w:sz w:val="15"/>
              </w:rPr>
              <w:t>taker, buyToken, sellToken, sellAmount, slippageBps</w:t>
            </w:r>
          </w:p>
        </w:tc>
        <w:tc>
          <w:tcPr>
            <w:tcW w:type="dxa" w:w="4320"/>
            <w:vAlign w:val="center"/>
            <w:shd w:fill="F5F2EC"/>
          </w:tcPr>
          <w:p>
            <w:pPr>
              <w:spacing w:after="20"/>
            </w:pPr>
            <w:r>
              <w:rPr>
                <w:sz w:val="15"/>
              </w:rPr>
              <w:t>Normalized indicative result; enforce limits and rate limit</w:t>
            </w:r>
          </w:p>
        </w:tc>
      </w:tr>
      <w:tr>
        <w:tc>
          <w:tcPr>
            <w:tcW w:type="dxa" w:w="2088"/>
            <w:vAlign w:val="center"/>
          </w:tcPr>
          <w:p>
            <w:pPr>
              <w:spacing w:after="20"/>
            </w:pPr>
            <w:r>
              <w:rPr>
                <w:sz w:val="15"/>
              </w:rPr>
              <w:t>POST /api/swap/quote</w:t>
            </w:r>
          </w:p>
        </w:tc>
        <w:tc>
          <w:tcPr>
            <w:tcW w:type="dxa" w:w="2952"/>
            <w:vAlign w:val="center"/>
          </w:tcPr>
          <w:p>
            <w:pPr>
              <w:spacing w:after="20"/>
            </w:pPr>
            <w:r>
              <w:rPr>
                <w:sz w:val="15"/>
              </w:rPr>
              <w:t>Same + explicit wallet intent + quote view ID</w:t>
            </w:r>
          </w:p>
        </w:tc>
        <w:tc>
          <w:tcPr>
            <w:tcW w:type="dxa" w:w="4320"/>
            <w:vAlign w:val="center"/>
          </w:tcPr>
          <w:p>
            <w:pPr>
              <w:spacing w:after="20"/>
            </w:pPr>
            <w:r>
              <w:rPr>
                <w:sz w:val="15"/>
              </w:rPr>
              <w:t>Raw tx fields only after server-side validation, fee summary, min buy amount</w:t>
            </w:r>
          </w:p>
        </w:tc>
      </w:tr>
      <w:tr>
        <w:tc>
          <w:tcPr>
            <w:tcW w:type="dxa" w:w="2088"/>
            <w:vAlign w:val="center"/>
            <w:shd w:fill="F5F2EC"/>
          </w:tcPr>
          <w:p>
            <w:pPr>
              <w:spacing w:after="20"/>
            </w:pPr>
            <w:r>
              <w:rPr>
                <w:sz w:val="15"/>
              </w:rPr>
              <w:t>GET /api/swap/history</w:t>
            </w:r>
          </w:p>
        </w:tc>
        <w:tc>
          <w:tcPr>
            <w:tcW w:type="dxa" w:w="2952"/>
            <w:vAlign w:val="center"/>
            <w:shd w:fill="F5F2EC"/>
          </w:tcPr>
          <w:p>
            <w:pPr>
              <w:spacing w:after="20"/>
            </w:pPr>
            <w:r>
              <w:rPr>
                <w:sz w:val="15"/>
              </w:rPr>
              <w:t>wallet address, pagination</w:t>
            </w:r>
          </w:p>
        </w:tc>
        <w:tc>
          <w:tcPr>
            <w:tcW w:type="dxa" w:w="4320"/>
            <w:vAlign w:val="center"/>
            <w:shd w:fill="F5F2EC"/>
          </w:tcPr>
          <w:p>
            <w:pPr>
              <w:spacing w:after="20"/>
            </w:pPr>
            <w:r>
              <w:rPr>
                <w:sz w:val="15"/>
              </w:rPr>
              <w:t>Indexed onchain swaps, no custody account</w:t>
            </w:r>
          </w:p>
        </w:tc>
      </w:tr>
      <w:tr>
        <w:tc>
          <w:tcPr>
            <w:tcW w:type="dxa" w:w="2088"/>
            <w:vAlign w:val="center"/>
          </w:tcPr>
          <w:p>
            <w:pPr>
              <w:spacing w:after="20"/>
            </w:pPr>
            <w:r>
              <w:rPr>
                <w:sz w:val="15"/>
              </w:rPr>
              <w:t>GET /api/health</w:t>
            </w:r>
          </w:p>
        </w:tc>
        <w:tc>
          <w:tcPr>
            <w:tcW w:type="dxa" w:w="2952"/>
            <w:vAlign w:val="center"/>
          </w:tcPr>
          <w:p>
            <w:pPr>
              <w:spacing w:after="20"/>
            </w:pPr>
            <w:r>
              <w:rPr>
                <w:sz w:val="15"/>
              </w:rPr>
              <w:t>internal/admin</w:t>
            </w:r>
          </w:p>
        </w:tc>
        <w:tc>
          <w:tcPr>
            <w:tcW w:type="dxa" w:w="4320"/>
            <w:vAlign w:val="center"/>
          </w:tcPr>
          <w:p>
            <w:pPr>
              <w:spacing w:after="20"/>
            </w:pPr>
            <w:r>
              <w:rPr>
                <w:sz w:val="15"/>
              </w:rPr>
              <w:t>0x, Base RPC, db and queue status; gated access</w:t>
            </w:r>
          </w:p>
        </w:tc>
      </w:tr>
    </w:tbl>
    <w:p/>
    <w:p>
      <w:pPr>
        <w:pStyle w:val="Heading2"/>
      </w:pPr>
      <w:r>
        <w:t>4.2 Critical validation requirements</w:t>
      </w:r>
    </w:p>
    <w:p>
      <w:pPr>
        <w:pStyle w:val="ListBullet"/>
      </w:pPr>
      <w:r>
        <w:t>Validate all hex addresses and bigint base-unit amounts; disallow floating-point math for token arithmetic.</w:t>
      </w:r>
    </w:p>
    <w:p>
      <w:pPr>
        <w:pStyle w:val="ListBullet"/>
      </w:pPr>
      <w:r>
        <w:t>Check taker equals connected wallet, chainId 8453, both tokens exist on allowlist, sell != buy and amount exceeds minimum.</w:t>
      </w:r>
    </w:p>
    <w:p>
      <w:pPr>
        <w:pStyle w:val="ListBullet"/>
      </w:pPr>
      <w:r>
        <w:t>Use fresh firm quote; on approval completion obtain another firm quote because market conditions and allowance state may change.</w:t>
      </w:r>
    </w:p>
    <w:p>
      <w:pPr>
        <w:pStyle w:val="ListBullet"/>
      </w:pPr>
      <w:r>
        <w:t>Validate transaction.to against the official 0x settlement contract pattern and provider quote; never substitute arbitrary caller-provided calldata.</w:t>
      </w:r>
    </w:p>
    <w:p>
      <w:pPr>
        <w:pStyle w:val="ListBullet"/>
      </w:pPr>
      <w:r>
        <w:t>For ERC-20 approvals, use ONLY issues.allowance.spender / allowanceTarget for the AllowanceHolder path, NEVER Settler.</w:t>
      </w:r>
    </w:p>
    <w:p>
      <w:pPr>
        <w:pStyle w:val="ListBullet"/>
      </w:pPr>
      <w:r>
        <w:t>Prefer exact-amount approvals; explicitly show any larger allowance and provide user-accessible revocation guidance.</w:t>
      </w:r>
    </w:p>
    <w:p>
      <w:pPr>
        <w:pStyle w:val="ListBullet"/>
      </w:pPr>
      <w:r>
        <w:t>If the provider returns an untrusted or unsupported risk profile, block execution with a meaningful reason.</w:t>
      </w:r>
    </w:p>
    <w:p>
      <w:pPr>
        <w:pStyle w:val="ListBullet"/>
      </w:pPr>
      <w:r>
        <w:t>Quote display should reflect API-returned minBuyAmount/guaranteed values where provided; do not independently manufacture guaranteed outcomes.</w:t>
      </w:r>
    </w:p>
    <w:p>
      <w:pPr>
        <w:pStyle w:val="Heading2"/>
      </w:pPr>
      <w:r>
        <w:t>4.3 Revenue and fee implementation</w:t>
      </w:r>
    </w:p>
    <w:p>
      <w:r>
        <w:t>0x integrator fees are configured on the price and firm quote requests using the current provider-supported fee parameters, with a designated collection address owned by RomaSwap and an approved fee token. Implement an adapter rather than embedding the field names throughout UI components; validate the live parameter schema and contract requirements in the provider dashboard before production.</w:t>
      </w:r>
    </w:p>
    <w:p>
      <w:r>
        <w:t>Suggested starting model: 0.20%–0.30% disclosed integrator fee, subject to commercial review and execution competitiveness; 0.25% is a modeling assumption, not a recommendation guaranteed to be supported on every route. Expose the provider fee, RomaSwap fee, gas estimate and quoted net received side-by-side. Reconcile receipts and 0x analytics to actual collected fees, never count quoted swaps as revenue.</w:t>
      </w:r>
    </w:p>
    <w:p>
      <w:pPr>
        <w:pStyle w:val="Heading1"/>
      </w:pPr>
      <w:r>
        <w:t>5. Nonfunctional, security and privacy requirements</w:t>
      </w:r>
    </w:p>
    <w:tbl>
      <w:tblPr>
        <w:tblStyle w:val="LightShading-Accent1"/>
        <w:tblW w:type="auto" w:w="0"/>
        <w:jc w:val="center"/>
        <w:tblLook w:firstColumn="1" w:firstRow="1" w:lastColumn="0" w:lastRow="0" w:noHBand="0" w:noVBand="1" w:val="04A0"/>
      </w:tblPr>
      <w:tblGrid>
        <w:gridCol w:w="4910"/>
        <w:gridCol w:w="4910"/>
      </w:tblGrid>
      <w:tr>
        <w:tc>
          <w:tcPr>
            <w:tcW w:type="dxa" w:w="1296"/>
            <w:shd w:fill="1B2029"/>
          </w:tcPr>
          <w:p>
            <w:r>
              <w:rPr>
                <w:b/>
                <w:color w:val="FFFFFF"/>
                <w:sz w:val="16"/>
              </w:rPr>
              <w:t>ID</w:t>
            </w:r>
          </w:p>
        </w:tc>
        <w:tc>
          <w:tcPr>
            <w:tcW w:type="dxa" w:w="8064"/>
            <w:shd w:fill="1B2029"/>
          </w:tcPr>
          <w:p>
            <w:r>
              <w:rPr>
                <w:b/>
                <w:color w:val="FFFFFF"/>
                <w:sz w:val="16"/>
              </w:rPr>
              <w:t>Control / measurable target</w:t>
            </w:r>
          </w:p>
        </w:tc>
      </w:tr>
      <w:tr>
        <w:tc>
          <w:tcPr>
            <w:tcW w:type="dxa" w:w="1296"/>
            <w:vAlign w:val="center"/>
          </w:tcPr>
          <w:p>
            <w:pPr>
              <w:spacing w:after="20"/>
            </w:pPr>
            <w:r>
              <w:rPr>
                <w:sz w:val="15"/>
              </w:rPr>
              <w:t>NFR-01</w:t>
            </w:r>
          </w:p>
        </w:tc>
        <w:tc>
          <w:tcPr>
            <w:tcW w:type="dxa" w:w="8064"/>
            <w:vAlign w:val="center"/>
          </w:tcPr>
          <w:p>
            <w:pPr>
              <w:spacing w:after="20"/>
            </w:pPr>
            <w:r>
              <w:rPr>
                <w:sz w:val="15"/>
              </w:rPr>
              <w:t>Availability target: &gt;=99.5% monthly website uptime for MVP, excluding upstream chain/provider outages, which must still be surfaced.</w:t>
            </w:r>
          </w:p>
        </w:tc>
      </w:tr>
      <w:tr>
        <w:tc>
          <w:tcPr>
            <w:tcW w:type="dxa" w:w="1296"/>
            <w:vAlign w:val="center"/>
            <w:shd w:fill="F5F2EC"/>
          </w:tcPr>
          <w:p>
            <w:pPr>
              <w:spacing w:after="20"/>
            </w:pPr>
            <w:r>
              <w:rPr>
                <w:sz w:val="15"/>
              </w:rPr>
              <w:t>NFR-02</w:t>
            </w:r>
          </w:p>
        </w:tc>
        <w:tc>
          <w:tcPr>
            <w:tcW w:type="dxa" w:w="8064"/>
            <w:vAlign w:val="center"/>
            <w:shd w:fill="F5F2EC"/>
          </w:tcPr>
          <w:p>
            <w:pPr>
              <w:spacing w:after="20"/>
            </w:pPr>
            <w:r>
              <w:rPr>
                <w:sz w:val="15"/>
              </w:rPr>
              <w:t>Indicative quote user feedback target &lt;3 seconds p95 under normal upstream conditions; show loading and graceful timeout.</w:t>
            </w:r>
          </w:p>
        </w:tc>
      </w:tr>
      <w:tr>
        <w:tc>
          <w:tcPr>
            <w:tcW w:type="dxa" w:w="1296"/>
            <w:vAlign w:val="center"/>
          </w:tcPr>
          <w:p>
            <w:pPr>
              <w:spacing w:after="20"/>
            </w:pPr>
            <w:r>
              <w:rPr>
                <w:sz w:val="15"/>
              </w:rPr>
              <w:t>NFR-03</w:t>
            </w:r>
          </w:p>
        </w:tc>
        <w:tc>
          <w:tcPr>
            <w:tcW w:type="dxa" w:w="8064"/>
            <w:vAlign w:val="center"/>
          </w:tcPr>
          <w:p>
            <w:pPr>
              <w:spacing w:after="20"/>
            </w:pPr>
            <w:r>
              <w:rPr>
                <w:sz w:val="15"/>
              </w:rPr>
              <w:t>Core UI Lighthouse accessibility &gt;=90 in tested routes; keyboard and screen reader flows verified.</w:t>
            </w:r>
          </w:p>
        </w:tc>
      </w:tr>
      <w:tr>
        <w:tc>
          <w:tcPr>
            <w:tcW w:type="dxa" w:w="1296"/>
            <w:vAlign w:val="center"/>
            <w:shd w:fill="F5F2EC"/>
          </w:tcPr>
          <w:p>
            <w:pPr>
              <w:spacing w:after="20"/>
            </w:pPr>
            <w:r>
              <w:rPr>
                <w:sz w:val="15"/>
              </w:rPr>
              <w:t>NFR-04</w:t>
            </w:r>
          </w:p>
        </w:tc>
        <w:tc>
          <w:tcPr>
            <w:tcW w:type="dxa" w:w="8064"/>
            <w:vAlign w:val="center"/>
            <w:shd w:fill="F5F2EC"/>
          </w:tcPr>
          <w:p>
            <w:pPr>
              <w:spacing w:after="20"/>
            </w:pPr>
            <w:r>
              <w:rPr>
                <w:sz w:val="15"/>
              </w:rPr>
              <w:t>No private keys, seed phrases, raw wallet signatures unrelated to explicit transaction requests, or custodial balances on RomaSwap servers.</w:t>
            </w:r>
          </w:p>
        </w:tc>
      </w:tr>
      <w:tr>
        <w:tc>
          <w:tcPr>
            <w:tcW w:type="dxa" w:w="1296"/>
            <w:vAlign w:val="center"/>
          </w:tcPr>
          <w:p>
            <w:pPr>
              <w:spacing w:after="20"/>
            </w:pPr>
            <w:r>
              <w:rPr>
                <w:sz w:val="15"/>
              </w:rPr>
              <w:t>NFR-05</w:t>
            </w:r>
          </w:p>
        </w:tc>
        <w:tc>
          <w:tcPr>
            <w:tcW w:type="dxa" w:w="8064"/>
            <w:vAlign w:val="center"/>
          </w:tcPr>
          <w:p>
            <w:pPr>
              <w:spacing w:after="20"/>
            </w:pPr>
            <w:r>
              <w:rPr>
                <w:sz w:val="15"/>
              </w:rPr>
              <w:t>TLS, HSTS, secure CSP, CSRF/cross-origin protections, HTTP rate limits, backend secret vault, dependency scanning.</w:t>
            </w:r>
          </w:p>
        </w:tc>
      </w:tr>
      <w:tr>
        <w:tc>
          <w:tcPr>
            <w:tcW w:type="dxa" w:w="1296"/>
            <w:vAlign w:val="center"/>
            <w:shd w:fill="F5F2EC"/>
          </w:tcPr>
          <w:p>
            <w:pPr>
              <w:spacing w:after="20"/>
            </w:pPr>
            <w:r>
              <w:rPr>
                <w:sz w:val="15"/>
              </w:rPr>
              <w:t>NFR-06</w:t>
            </w:r>
          </w:p>
        </w:tc>
        <w:tc>
          <w:tcPr>
            <w:tcW w:type="dxa" w:w="8064"/>
            <w:vAlign w:val="center"/>
            <w:shd w:fill="F5F2EC"/>
          </w:tcPr>
          <w:p>
            <w:pPr>
              <w:spacing w:after="20"/>
            </w:pPr>
            <w:r>
              <w:rPr>
                <w:sz w:val="15"/>
              </w:rPr>
              <w:t>Transaction-critical logs exclude secrets, raw personal information and sensitive wallet metadata; retention policy approved by counsel.</w:t>
            </w:r>
          </w:p>
        </w:tc>
      </w:tr>
      <w:tr>
        <w:tc>
          <w:tcPr>
            <w:tcW w:type="dxa" w:w="1296"/>
            <w:vAlign w:val="center"/>
          </w:tcPr>
          <w:p>
            <w:pPr>
              <w:spacing w:after="20"/>
            </w:pPr>
            <w:r>
              <w:rPr>
                <w:sz w:val="15"/>
              </w:rPr>
              <w:t>NFR-07</w:t>
            </w:r>
          </w:p>
        </w:tc>
        <w:tc>
          <w:tcPr>
            <w:tcW w:type="dxa" w:w="8064"/>
            <w:vAlign w:val="center"/>
          </w:tcPr>
          <w:p>
            <w:pPr>
              <w:spacing w:after="20"/>
            </w:pPr>
            <w:r>
              <w:rPr>
                <w:sz w:val="15"/>
              </w:rPr>
              <w:t>Admin uses SSO/MFA, least privilege, audited changes; platform-fee wallet controlled with multisig and dual approval.</w:t>
            </w:r>
          </w:p>
        </w:tc>
      </w:tr>
      <w:tr>
        <w:tc>
          <w:tcPr>
            <w:tcW w:type="dxa" w:w="1296"/>
            <w:vAlign w:val="center"/>
            <w:shd w:fill="F5F2EC"/>
          </w:tcPr>
          <w:p>
            <w:pPr>
              <w:spacing w:after="20"/>
            </w:pPr>
            <w:r>
              <w:rPr>
                <w:sz w:val="15"/>
              </w:rPr>
              <w:t>NFR-08</w:t>
            </w:r>
          </w:p>
        </w:tc>
        <w:tc>
          <w:tcPr>
            <w:tcW w:type="dxa" w:w="8064"/>
            <w:vAlign w:val="center"/>
            <w:shd w:fill="F5F2EC"/>
          </w:tcPr>
          <w:p>
            <w:pPr>
              <w:spacing w:after="20"/>
            </w:pPr>
            <w:r>
              <w:rPr>
                <w:sz w:val="15"/>
              </w:rPr>
              <w:t>Implement token phishing/honeypot policy, address verification, risky spender blocking, minimum-output validation and quote expiry.</w:t>
            </w:r>
          </w:p>
        </w:tc>
      </w:tr>
      <w:tr>
        <w:tc>
          <w:tcPr>
            <w:tcW w:type="dxa" w:w="1296"/>
            <w:vAlign w:val="center"/>
          </w:tcPr>
          <w:p>
            <w:pPr>
              <w:spacing w:after="20"/>
            </w:pPr>
            <w:r>
              <w:rPr>
                <w:sz w:val="15"/>
              </w:rPr>
              <w:t>NFR-09</w:t>
            </w:r>
          </w:p>
        </w:tc>
        <w:tc>
          <w:tcPr>
            <w:tcW w:type="dxa" w:w="8064"/>
            <w:vAlign w:val="center"/>
          </w:tcPr>
          <w:p>
            <w:pPr>
              <w:spacing w:after="20"/>
            </w:pPr>
            <w:r>
              <w:rPr>
                <w:sz w:val="15"/>
              </w:rPr>
              <w:t>Alert on elevated 0x errors, suspicious fee changes, mismatched recipient, spikes in reverted swaps and unusual treasury flows.</w:t>
            </w:r>
          </w:p>
        </w:tc>
      </w:tr>
      <w:tr>
        <w:tc>
          <w:tcPr>
            <w:tcW w:type="dxa" w:w="1296"/>
            <w:vAlign w:val="center"/>
            <w:shd w:fill="F5F2EC"/>
          </w:tcPr>
          <w:p>
            <w:pPr>
              <w:spacing w:after="20"/>
            </w:pPr>
            <w:r>
              <w:rPr>
                <w:sz w:val="15"/>
              </w:rPr>
              <w:t>NFR-10</w:t>
            </w:r>
          </w:p>
        </w:tc>
        <w:tc>
          <w:tcPr>
            <w:tcW w:type="dxa" w:w="8064"/>
            <w:vAlign w:val="center"/>
            <w:shd w:fill="F5F2EC"/>
          </w:tcPr>
          <w:p>
            <w:pPr>
              <w:spacing w:after="20"/>
            </w:pPr>
            <w:r>
              <w:rPr>
                <w:sz w:val="15"/>
              </w:rPr>
              <w:t>Dependency lockfiles, reproducible deploys, branch protections, secret scanning, SAST/DAST, and independent security assessment.</w:t>
            </w:r>
          </w:p>
        </w:tc>
      </w:tr>
    </w:tbl>
    <w:p/>
    <w:p>
      <w:pPr>
        <w:pStyle w:val="Heading2"/>
      </w:pPr>
      <w:r>
        <w:t>5.1 Threat model minimum set</w:t>
      </w:r>
    </w:p>
    <w:p>
      <w:pPr>
        <w:pStyle w:val="ListBullet"/>
      </w:pPr>
      <w:r>
        <w:t>Supply-chain compromise of frontend or wallet connector; malicious injected swap transaction.</w:t>
      </w:r>
    </w:p>
    <w:p>
      <w:pPr>
        <w:pStyle w:val="ListBullet"/>
      </w:pPr>
      <w:r>
        <w:t>Compromised 0x or RPC response; tampered quote or untrusted spender.</w:t>
      </w:r>
    </w:p>
    <w:p>
      <w:pPr>
        <w:pStyle w:val="ListBullet"/>
      </w:pPr>
      <w:r>
        <w:t>Token metadata spoofing, decimals mismatch, malicious ERC-20 behavior, fee-on-transfer tokens.</w:t>
      </w:r>
    </w:p>
    <w:p>
      <w:pPr>
        <w:pStyle w:val="ListBullet"/>
      </w:pPr>
      <w:r>
        <w:t>Approval phishing, unlimited allowance, malicious spender and permit signature confusion.</w:t>
      </w:r>
    </w:p>
    <w:p>
      <w:pPr>
        <w:pStyle w:val="ListBullet"/>
      </w:pPr>
      <w:r>
        <w:t>MEV/front-running and price movement causing loss or failed transaction.</w:t>
      </w:r>
    </w:p>
    <w:p>
      <w:pPr>
        <w:pStyle w:val="ListBullet"/>
      </w:pPr>
      <w:r>
        <w:t>Compromised admin, fee-recipient replacement, API key leakage, analytics exfiltration.</w:t>
      </w:r>
    </w:p>
    <w:p>
      <w:pPr>
        <w:pStyle w:val="ListBullet"/>
      </w:pPr>
      <w:r>
        <w:t>DNS/domain takeover, dependency vulnerabilities, third-party telemetry failure.</w:t>
      </w:r>
    </w:p>
    <w:p>
      <w:r>
        <w:rPr>
          <w:b/>
          <w:color w:val="98691F"/>
        </w:rPr>
        <w:t xml:space="preserve">SECURITY GATE  </w:t>
      </w:r>
      <w:r>
        <w:t>Independent review must include a real-wallet approval/swap test on Base, transaction target verification, fee-wallet controls and production configuration review. No custom RomaSwap settlement smart contracts in MVP reduces, but does not eliminate, security risk.</w:t>
      </w:r>
    </w:p>
    <w:p>
      <w:pPr>
        <w:pStyle w:val="Heading1"/>
      </w:pPr>
      <w:r>
        <w:t>6. Data model and analytics</w:t>
      </w:r>
    </w:p>
    <w:tbl>
      <w:tblPr>
        <w:tblStyle w:val="LightShading-Accent1"/>
        <w:tblW w:type="auto" w:w="0"/>
        <w:jc w:val="center"/>
        <w:tblLook w:firstColumn="1" w:firstRow="1" w:lastColumn="0" w:lastRow="0" w:noHBand="0" w:noVBand="1" w:val="04A0"/>
      </w:tblPr>
      <w:tblGrid>
        <w:gridCol w:w="3273"/>
        <w:gridCol w:w="3273"/>
        <w:gridCol w:w="3273"/>
      </w:tblGrid>
      <w:tr>
        <w:tc>
          <w:tcPr>
            <w:tcW w:type="dxa" w:w="1800"/>
            <w:shd w:fill="1B2029"/>
          </w:tcPr>
          <w:p>
            <w:r>
              <w:rPr>
                <w:b/>
                <w:color w:val="FFFFFF"/>
                <w:sz w:val="16"/>
              </w:rPr>
              <w:t>Entity</w:t>
            </w:r>
          </w:p>
        </w:tc>
        <w:tc>
          <w:tcPr>
            <w:tcW w:type="dxa" w:w="4392"/>
            <w:shd w:fill="1B2029"/>
          </w:tcPr>
          <w:p>
            <w:r>
              <w:rPr>
                <w:b/>
                <w:color w:val="FFFFFF"/>
                <w:sz w:val="16"/>
              </w:rPr>
              <w:t>Key fields</w:t>
            </w:r>
          </w:p>
        </w:tc>
        <w:tc>
          <w:tcPr>
            <w:tcW w:type="dxa" w:w="3168"/>
            <w:shd w:fill="1B2029"/>
          </w:tcPr>
          <w:p>
            <w:r>
              <w:rPr>
                <w:b/>
                <w:color w:val="FFFFFF"/>
                <w:sz w:val="16"/>
              </w:rPr>
              <w:t>Retention / notes</w:t>
            </w:r>
          </w:p>
        </w:tc>
      </w:tr>
      <w:tr>
        <w:tc>
          <w:tcPr>
            <w:tcW w:type="dxa" w:w="1800"/>
            <w:vAlign w:val="center"/>
          </w:tcPr>
          <w:p>
            <w:pPr>
              <w:spacing w:after="20"/>
            </w:pPr>
            <w:r>
              <w:rPr>
                <w:sz w:val="15"/>
              </w:rPr>
              <w:t>Token</w:t>
            </w:r>
          </w:p>
        </w:tc>
        <w:tc>
          <w:tcPr>
            <w:tcW w:type="dxa" w:w="4392"/>
            <w:vAlign w:val="center"/>
          </w:tcPr>
          <w:p>
            <w:pPr>
              <w:spacing w:after="20"/>
            </w:pPr>
            <w:r>
              <w:rPr>
                <w:sz w:val="15"/>
              </w:rPr>
              <w:t>chainId, address, symbol, decimals, logo, status, risk rationale, updatedAt</w:t>
            </w:r>
          </w:p>
        </w:tc>
        <w:tc>
          <w:tcPr>
            <w:tcW w:type="dxa" w:w="3168"/>
            <w:vAlign w:val="center"/>
          </w:tcPr>
          <w:p>
            <w:pPr>
              <w:spacing w:after="20"/>
            </w:pPr>
            <w:r>
              <w:rPr>
                <w:sz w:val="15"/>
              </w:rPr>
              <w:t>Versioned allowlist; audit all changes</w:t>
            </w:r>
          </w:p>
        </w:tc>
      </w:tr>
      <w:tr>
        <w:tc>
          <w:tcPr>
            <w:tcW w:type="dxa" w:w="1800"/>
            <w:vAlign w:val="center"/>
            <w:shd w:fill="F5F2EC"/>
          </w:tcPr>
          <w:p>
            <w:pPr>
              <w:spacing w:after="20"/>
            </w:pPr>
            <w:r>
              <w:rPr>
                <w:sz w:val="15"/>
              </w:rPr>
              <w:t>QuoteEvent</w:t>
            </w:r>
          </w:p>
        </w:tc>
        <w:tc>
          <w:tcPr>
            <w:tcW w:type="dxa" w:w="4392"/>
            <w:vAlign w:val="center"/>
            <w:shd w:fill="F5F2EC"/>
          </w:tcPr>
          <w:p>
            <w:pPr>
              <w:spacing w:after="20"/>
            </w:pPr>
            <w:r>
              <w:rPr>
                <w:sz w:val="15"/>
              </w:rPr>
              <w:t>requestId, anonymized wallet key, pair, amounts, latency, provider, result</w:t>
            </w:r>
          </w:p>
        </w:tc>
        <w:tc>
          <w:tcPr>
            <w:tcW w:type="dxa" w:w="3168"/>
            <w:vAlign w:val="center"/>
            <w:shd w:fill="F5F2EC"/>
          </w:tcPr>
          <w:p>
            <w:pPr>
              <w:spacing w:after="20"/>
            </w:pPr>
            <w:r>
              <w:rPr>
                <w:sz w:val="15"/>
              </w:rPr>
              <w:t>No quote calldata in general logs; retention limited</w:t>
            </w:r>
          </w:p>
        </w:tc>
      </w:tr>
      <w:tr>
        <w:tc>
          <w:tcPr>
            <w:tcW w:type="dxa" w:w="1800"/>
            <w:vAlign w:val="center"/>
          </w:tcPr>
          <w:p>
            <w:pPr>
              <w:spacing w:after="20"/>
            </w:pPr>
            <w:r>
              <w:rPr>
                <w:sz w:val="15"/>
              </w:rPr>
              <w:t>SwapAttempt</w:t>
            </w:r>
          </w:p>
        </w:tc>
        <w:tc>
          <w:tcPr>
            <w:tcW w:type="dxa" w:w="4392"/>
            <w:vAlign w:val="center"/>
          </w:tcPr>
          <w:p>
            <w:pPr>
              <w:spacing w:after="20"/>
            </w:pPr>
            <w:r>
              <w:rPr>
                <w:sz w:val="15"/>
              </w:rPr>
              <w:t>txHash, chainId, public wallet, token pair, quoteRef, timestamps, state</w:t>
            </w:r>
          </w:p>
        </w:tc>
        <w:tc>
          <w:tcPr>
            <w:tcW w:type="dxa" w:w="3168"/>
            <w:vAlign w:val="center"/>
          </w:tcPr>
          <w:p>
            <w:pPr>
              <w:spacing w:after="20"/>
            </w:pPr>
            <w:r>
              <w:rPr>
                <w:sz w:val="15"/>
              </w:rPr>
              <w:t>Public onchain address is still privacy-relevant</w:t>
            </w:r>
          </w:p>
        </w:tc>
      </w:tr>
      <w:tr>
        <w:tc>
          <w:tcPr>
            <w:tcW w:type="dxa" w:w="1800"/>
            <w:vAlign w:val="center"/>
            <w:shd w:fill="F5F2EC"/>
          </w:tcPr>
          <w:p>
            <w:pPr>
              <w:spacing w:after="20"/>
            </w:pPr>
            <w:r>
              <w:rPr>
                <w:sz w:val="15"/>
              </w:rPr>
              <w:t>SwapReceipt</w:t>
            </w:r>
          </w:p>
        </w:tc>
        <w:tc>
          <w:tcPr>
            <w:tcW w:type="dxa" w:w="4392"/>
            <w:vAlign w:val="center"/>
            <w:shd w:fill="F5F2EC"/>
          </w:tcPr>
          <w:p>
            <w:pPr>
              <w:spacing w:after="20"/>
            </w:pPr>
            <w:r>
              <w:rPr>
                <w:sz w:val="15"/>
              </w:rPr>
              <w:t>txHash, status, block, gasPaid, realized amounts, fee amount</w:t>
            </w:r>
          </w:p>
        </w:tc>
        <w:tc>
          <w:tcPr>
            <w:tcW w:type="dxa" w:w="3168"/>
            <w:vAlign w:val="center"/>
            <w:shd w:fill="F5F2EC"/>
          </w:tcPr>
          <w:p>
            <w:pPr>
              <w:spacing w:after="20"/>
            </w:pPr>
            <w:r>
              <w:rPr>
                <w:sz w:val="15"/>
              </w:rPr>
              <w:t>Reconcile via onchain receipt and trusted logs</w:t>
            </w:r>
          </w:p>
        </w:tc>
      </w:tr>
      <w:tr>
        <w:tc>
          <w:tcPr>
            <w:tcW w:type="dxa" w:w="1800"/>
            <w:vAlign w:val="center"/>
          </w:tcPr>
          <w:p>
            <w:pPr>
              <w:spacing w:after="20"/>
            </w:pPr>
            <w:r>
              <w:rPr>
                <w:sz w:val="15"/>
              </w:rPr>
              <w:t>AdminAudit</w:t>
            </w:r>
          </w:p>
        </w:tc>
        <w:tc>
          <w:tcPr>
            <w:tcW w:type="dxa" w:w="4392"/>
            <w:vAlign w:val="center"/>
          </w:tcPr>
          <w:p>
            <w:pPr>
              <w:spacing w:after="20"/>
            </w:pPr>
            <w:r>
              <w:rPr>
                <w:sz w:val="15"/>
              </w:rPr>
              <w:t>actor, change, old/new token/fee configuration, approval, timestamp</w:t>
            </w:r>
          </w:p>
        </w:tc>
        <w:tc>
          <w:tcPr>
            <w:tcW w:type="dxa" w:w="3168"/>
            <w:vAlign w:val="center"/>
          </w:tcPr>
          <w:p>
            <w:pPr>
              <w:spacing w:after="20"/>
            </w:pPr>
            <w:r>
              <w:rPr>
                <w:sz w:val="15"/>
              </w:rPr>
              <w:t>Immutable/append-only where practical</w:t>
            </w:r>
          </w:p>
        </w:tc>
      </w:tr>
    </w:tbl>
    <w:p/>
    <w:p>
      <w:r>
        <w:t>Analytics dashboard metrics: quote request success ratio, p50/p95 latency, quote-to-wallet-open conversion, signed-to-confirmed conversion, revert rate by pair, monthly completed volume, actual integrator fees, RPC availability, support tickets and incident counts. Avoid representing API quote volume as traded volume.</w:t>
      </w:r>
    </w:p>
    <w:p>
      <w:pPr>
        <w:pStyle w:val="Heading1"/>
      </w:pPr>
      <w:r>
        <w:t>7. Regulatory and operational dependencies</w:t>
      </w:r>
    </w:p>
    <w:p>
      <w:r>
        <w:t>Before live launch, retain qualified U.S. digital asset counsel to produce a written activity-by-activity analysis of: federal FinCEN money transmission/MSB classification; California DFAL licensing or exemptions; other states and geofencing; OFAC sanctions responsibilities; applicable AML/KYC controls; securities/commodities implications of token selection; consumer disclosures; privacy, data retention and taxes. The compliance posture must reflect the actual product and revenue/control model, not simply the label “noncustodial.”</w:t>
      </w:r>
    </w:p>
    <w:p>
      <w:r>
        <w:t>California DFPI states covered digital-asset firms serving California residents generally need a license or timely qualifying application from July 1, 2026, unless exempt. An initial legal screen must be completed before production launch, and developers must be prepared to gate restricted geographies or postpone live swaps. Legal/compliance work may exceed the sample cost range if licensing is required.</w:t>
      </w:r>
    </w:p>
    <w:tbl>
      <w:tblPr>
        <w:tblStyle w:val="LightShading-Accent1"/>
        <w:tblW w:type="auto" w:w="0"/>
        <w:jc w:val="center"/>
        <w:tblLook w:firstColumn="1" w:firstRow="1" w:lastColumn="0" w:lastRow="0" w:noHBand="0" w:noVBand="1" w:val="04A0"/>
      </w:tblPr>
      <w:tblGrid>
        <w:gridCol w:w="3273"/>
        <w:gridCol w:w="3273"/>
        <w:gridCol w:w="3273"/>
      </w:tblGrid>
      <w:tr>
        <w:tc>
          <w:tcPr>
            <w:tcW w:type="dxa" w:w="1728"/>
            <w:shd w:fill="1B2029"/>
          </w:tcPr>
          <w:p>
            <w:r>
              <w:rPr>
                <w:b/>
                <w:color w:val="FFFFFF"/>
                <w:sz w:val="16"/>
              </w:rPr>
              <w:t>Gate</w:t>
            </w:r>
          </w:p>
        </w:tc>
        <w:tc>
          <w:tcPr>
            <w:tcW w:type="dxa" w:w="6408"/>
            <w:shd w:fill="1B2029"/>
          </w:tcPr>
          <w:p>
            <w:r>
              <w:rPr>
                <w:b/>
                <w:color w:val="FFFFFF"/>
                <w:sz w:val="16"/>
              </w:rPr>
              <w:t>Evidence for approval</w:t>
            </w:r>
          </w:p>
        </w:tc>
        <w:tc>
          <w:tcPr>
            <w:tcW w:type="dxa" w:w="1224"/>
            <w:shd w:fill="1B2029"/>
          </w:tcPr>
          <w:p>
            <w:r>
              <w:rPr>
                <w:b/>
                <w:color w:val="FFFFFF"/>
                <w:sz w:val="16"/>
              </w:rPr>
              <w:t>Owner</w:t>
            </w:r>
          </w:p>
        </w:tc>
      </w:tr>
      <w:tr>
        <w:tc>
          <w:tcPr>
            <w:tcW w:type="dxa" w:w="1728"/>
            <w:vAlign w:val="center"/>
          </w:tcPr>
          <w:p>
            <w:pPr>
              <w:spacing w:after="20"/>
            </w:pPr>
            <w:r>
              <w:rPr>
                <w:sz w:val="15"/>
              </w:rPr>
              <w:t>G0: Scope</w:t>
            </w:r>
          </w:p>
        </w:tc>
        <w:tc>
          <w:tcPr>
            <w:tcW w:type="dxa" w:w="6408"/>
            <w:vAlign w:val="center"/>
          </w:tcPr>
          <w:p>
            <w:pPr>
              <w:spacing w:after="20"/>
            </w:pPr>
            <w:r>
              <w:rPr>
                <w:sz w:val="15"/>
              </w:rPr>
              <w:t>Token types, user geography, fee model, and custody flow documented</w:t>
            </w:r>
          </w:p>
        </w:tc>
        <w:tc>
          <w:tcPr>
            <w:tcW w:type="dxa" w:w="1224"/>
            <w:vAlign w:val="center"/>
          </w:tcPr>
          <w:p>
            <w:pPr>
              <w:spacing w:after="20"/>
            </w:pPr>
            <w:r>
              <w:rPr>
                <w:sz w:val="15"/>
              </w:rPr>
              <w:t>Product + counsel</w:t>
            </w:r>
          </w:p>
        </w:tc>
      </w:tr>
      <w:tr>
        <w:tc>
          <w:tcPr>
            <w:tcW w:type="dxa" w:w="1728"/>
            <w:vAlign w:val="center"/>
            <w:shd w:fill="F5F2EC"/>
          </w:tcPr>
          <w:p>
            <w:pPr>
              <w:spacing w:after="20"/>
            </w:pPr>
            <w:r>
              <w:rPr>
                <w:sz w:val="15"/>
              </w:rPr>
              <w:t>G1: Regulatory</w:t>
            </w:r>
          </w:p>
        </w:tc>
        <w:tc>
          <w:tcPr>
            <w:tcW w:type="dxa" w:w="6408"/>
            <w:vAlign w:val="center"/>
            <w:shd w:fill="F5F2EC"/>
          </w:tcPr>
          <w:p>
            <w:pPr>
              <w:spacing w:after="20"/>
            </w:pPr>
            <w:r>
              <w:rPr>
                <w:sz w:val="15"/>
              </w:rPr>
              <w:t>Written classification, required licenses/filings, policies and approved jurisdictions</w:t>
            </w:r>
          </w:p>
        </w:tc>
        <w:tc>
          <w:tcPr>
            <w:tcW w:type="dxa" w:w="1224"/>
            <w:vAlign w:val="center"/>
            <w:shd w:fill="F5F2EC"/>
          </w:tcPr>
          <w:p>
            <w:pPr>
              <w:spacing w:after="20"/>
            </w:pPr>
            <w:r>
              <w:rPr>
                <w:sz w:val="15"/>
              </w:rPr>
              <w:t>External counsel / compliance</w:t>
            </w:r>
          </w:p>
        </w:tc>
      </w:tr>
      <w:tr>
        <w:tc>
          <w:tcPr>
            <w:tcW w:type="dxa" w:w="1728"/>
            <w:vAlign w:val="center"/>
          </w:tcPr>
          <w:p>
            <w:pPr>
              <w:spacing w:after="20"/>
            </w:pPr>
            <w:r>
              <w:rPr>
                <w:sz w:val="15"/>
              </w:rPr>
              <w:t>G2: Technical</w:t>
            </w:r>
          </w:p>
        </w:tc>
        <w:tc>
          <w:tcPr>
            <w:tcW w:type="dxa" w:w="6408"/>
            <w:vAlign w:val="center"/>
          </w:tcPr>
          <w:p>
            <w:pPr>
              <w:spacing w:after="20"/>
            </w:pPr>
            <w:r>
              <w:rPr>
                <w:sz w:val="15"/>
              </w:rPr>
              <w:t>Independent security review, critical issues fixed and retested</w:t>
            </w:r>
          </w:p>
        </w:tc>
        <w:tc>
          <w:tcPr>
            <w:tcW w:type="dxa" w:w="1224"/>
            <w:vAlign w:val="center"/>
          </w:tcPr>
          <w:p>
            <w:pPr>
              <w:spacing w:after="20"/>
            </w:pPr>
            <w:r>
              <w:rPr>
                <w:sz w:val="15"/>
              </w:rPr>
              <w:t>Engineering lead / auditor</w:t>
            </w:r>
          </w:p>
        </w:tc>
      </w:tr>
      <w:tr>
        <w:tc>
          <w:tcPr>
            <w:tcW w:type="dxa" w:w="1728"/>
            <w:vAlign w:val="center"/>
            <w:shd w:fill="F5F2EC"/>
          </w:tcPr>
          <w:p>
            <w:pPr>
              <w:spacing w:after="20"/>
            </w:pPr>
            <w:r>
              <w:rPr>
                <w:sz w:val="15"/>
              </w:rPr>
              <w:t>G3: Operations</w:t>
            </w:r>
          </w:p>
        </w:tc>
        <w:tc>
          <w:tcPr>
            <w:tcW w:type="dxa" w:w="6408"/>
            <w:vAlign w:val="center"/>
            <w:shd w:fill="F5F2EC"/>
          </w:tcPr>
          <w:p>
            <w:pPr>
              <w:spacing w:after="20"/>
            </w:pPr>
            <w:r>
              <w:rPr>
                <w:sz w:val="15"/>
              </w:rPr>
              <w:t>Incident response, support, privacy notice, vendor SLAs, fee multisig and monitoring</w:t>
            </w:r>
          </w:p>
        </w:tc>
        <w:tc>
          <w:tcPr>
            <w:tcW w:type="dxa" w:w="1224"/>
            <w:vAlign w:val="center"/>
            <w:shd w:fill="F5F2EC"/>
          </w:tcPr>
          <w:p>
            <w:pPr>
              <w:spacing w:after="20"/>
            </w:pPr>
            <w:r>
              <w:rPr>
                <w:sz w:val="15"/>
              </w:rPr>
              <w:t>Operations + security</w:t>
            </w:r>
          </w:p>
        </w:tc>
      </w:tr>
      <w:tr>
        <w:tc>
          <w:tcPr>
            <w:tcW w:type="dxa" w:w="1728"/>
            <w:vAlign w:val="center"/>
          </w:tcPr>
          <w:p>
            <w:pPr>
              <w:spacing w:after="20"/>
            </w:pPr>
            <w:r>
              <w:rPr>
                <w:sz w:val="15"/>
              </w:rPr>
              <w:t>G4: Go-live</w:t>
            </w:r>
          </w:p>
        </w:tc>
        <w:tc>
          <w:tcPr>
            <w:tcW w:type="dxa" w:w="6408"/>
            <w:vAlign w:val="center"/>
          </w:tcPr>
          <w:p>
            <w:pPr>
              <w:spacing w:after="20"/>
            </w:pPr>
            <w:r>
              <w:rPr>
                <w:sz w:val="15"/>
              </w:rPr>
              <w:t>Signed approval with launch date, network, token list, fee schedule</w:t>
            </w:r>
          </w:p>
        </w:tc>
        <w:tc>
          <w:tcPr>
            <w:tcW w:type="dxa" w:w="1224"/>
            <w:vAlign w:val="center"/>
          </w:tcPr>
          <w:p>
            <w:pPr>
              <w:spacing w:after="20"/>
            </w:pPr>
            <w:r>
              <w:rPr>
                <w:sz w:val="15"/>
              </w:rPr>
              <w:t>Executive sponsor</w:t>
            </w:r>
          </w:p>
        </w:tc>
      </w:tr>
    </w:tbl>
    <w:p/>
    <w:p>
      <w:pPr>
        <w:pStyle w:val="Heading1"/>
      </w:pPr>
      <w:r>
        <w:t>8. Test strategy and acceptance criteria</w:t>
      </w:r>
    </w:p>
    <w:p>
      <w:r>
        <w:t>All P0 criteria must pass in automated or witnessed manual test before production. Use unit tests for numeric conversions/validation, integration tests with mocked 0x/RPC failures, browser E2E for wallet flows, and controlled real Base swaps with minimal exposure.</w:t>
      </w:r>
    </w:p>
    <w:tbl>
      <w:tblPr>
        <w:tblStyle w:val="LightShading-Accent1"/>
        <w:tblW w:type="auto" w:w="0"/>
        <w:jc w:val="center"/>
        <w:tblLook w:firstColumn="1" w:firstRow="1" w:lastColumn="0" w:lastRow="0" w:noHBand="0" w:noVBand="1" w:val="04A0"/>
      </w:tblPr>
      <w:tblGrid>
        <w:gridCol w:w="3273"/>
        <w:gridCol w:w="3273"/>
        <w:gridCol w:w="3273"/>
      </w:tblGrid>
      <w:tr>
        <w:tc>
          <w:tcPr>
            <w:tcW w:type="dxa" w:w="1152"/>
            <w:shd w:fill="1B2029"/>
          </w:tcPr>
          <w:p>
            <w:r>
              <w:rPr>
                <w:b/>
                <w:color w:val="FFFFFF"/>
                <w:sz w:val="16"/>
              </w:rPr>
              <w:t>Test ID</w:t>
            </w:r>
          </w:p>
        </w:tc>
        <w:tc>
          <w:tcPr>
            <w:tcW w:type="dxa" w:w="3528"/>
            <w:shd w:fill="1B2029"/>
          </w:tcPr>
          <w:p>
            <w:r>
              <w:rPr>
                <w:b/>
                <w:color w:val="FFFFFF"/>
                <w:sz w:val="16"/>
              </w:rPr>
              <w:t>Scenario</w:t>
            </w:r>
          </w:p>
        </w:tc>
        <w:tc>
          <w:tcPr>
            <w:tcW w:type="dxa" w:w="4680"/>
            <w:shd w:fill="1B2029"/>
          </w:tcPr>
          <w:p>
            <w:r>
              <w:rPr>
                <w:b/>
                <w:color w:val="FFFFFF"/>
                <w:sz w:val="16"/>
              </w:rPr>
              <w:t>Pass criterion</w:t>
            </w:r>
          </w:p>
        </w:tc>
      </w:tr>
      <w:tr>
        <w:tc>
          <w:tcPr>
            <w:tcW w:type="dxa" w:w="1152"/>
            <w:vAlign w:val="center"/>
          </w:tcPr>
          <w:p>
            <w:pPr>
              <w:spacing w:after="20"/>
            </w:pPr>
            <w:r>
              <w:rPr>
                <w:sz w:val="15"/>
              </w:rPr>
              <w:t>AT-01</w:t>
            </w:r>
          </w:p>
        </w:tc>
        <w:tc>
          <w:tcPr>
            <w:tcW w:type="dxa" w:w="3528"/>
            <w:vAlign w:val="center"/>
          </w:tcPr>
          <w:p>
            <w:pPr>
              <w:spacing w:after="20"/>
            </w:pPr>
            <w:r>
              <w:rPr>
                <w:sz w:val="15"/>
              </w:rPr>
              <w:t>Connect each of 3 wallet paths</w:t>
            </w:r>
          </w:p>
        </w:tc>
        <w:tc>
          <w:tcPr>
            <w:tcW w:type="dxa" w:w="4680"/>
            <w:vAlign w:val="center"/>
          </w:tcPr>
          <w:p>
            <w:pPr>
              <w:spacing w:after="20"/>
            </w:pPr>
            <w:r>
              <w:rPr>
                <w:sz w:val="15"/>
              </w:rPr>
              <w:t>Wallet address and Base network correctly shown; disconnect works</w:t>
            </w:r>
          </w:p>
        </w:tc>
      </w:tr>
      <w:tr>
        <w:tc>
          <w:tcPr>
            <w:tcW w:type="dxa" w:w="1152"/>
            <w:vAlign w:val="center"/>
            <w:shd w:fill="F5F2EC"/>
          </w:tcPr>
          <w:p>
            <w:pPr>
              <w:spacing w:after="20"/>
            </w:pPr>
            <w:r>
              <w:rPr>
                <w:sz w:val="15"/>
              </w:rPr>
              <w:t>AT-02</w:t>
            </w:r>
          </w:p>
        </w:tc>
        <w:tc>
          <w:tcPr>
            <w:tcW w:type="dxa" w:w="3528"/>
            <w:vAlign w:val="center"/>
            <w:shd w:fill="F5F2EC"/>
          </w:tcPr>
          <w:p>
            <w:pPr>
              <w:spacing w:after="20"/>
            </w:pPr>
            <w:r>
              <w:rPr>
                <w:sz w:val="15"/>
              </w:rPr>
              <w:t>Switch away from Base</w:t>
            </w:r>
          </w:p>
        </w:tc>
        <w:tc>
          <w:tcPr>
            <w:tcW w:type="dxa" w:w="4680"/>
            <w:vAlign w:val="center"/>
            <w:shd w:fill="F5F2EC"/>
          </w:tcPr>
          <w:p>
            <w:pPr>
              <w:spacing w:after="20"/>
            </w:pPr>
            <w:r>
              <w:rPr>
                <w:sz w:val="15"/>
              </w:rPr>
              <w:t>Quote/execution blocked and network switching prompt displayed</w:t>
            </w:r>
          </w:p>
        </w:tc>
      </w:tr>
      <w:tr>
        <w:tc>
          <w:tcPr>
            <w:tcW w:type="dxa" w:w="1152"/>
            <w:vAlign w:val="center"/>
          </w:tcPr>
          <w:p>
            <w:pPr>
              <w:spacing w:after="20"/>
            </w:pPr>
            <w:r>
              <w:rPr>
                <w:sz w:val="15"/>
              </w:rPr>
              <w:t>AT-03</w:t>
            </w:r>
          </w:p>
        </w:tc>
        <w:tc>
          <w:tcPr>
            <w:tcW w:type="dxa" w:w="3528"/>
            <w:vAlign w:val="center"/>
          </w:tcPr>
          <w:p>
            <w:pPr>
              <w:spacing w:after="20"/>
            </w:pPr>
            <w:r>
              <w:rPr>
                <w:sz w:val="15"/>
              </w:rPr>
              <w:t>ETH -&gt; USDC indicative quote</w:t>
            </w:r>
          </w:p>
        </w:tc>
        <w:tc>
          <w:tcPr>
            <w:tcW w:type="dxa" w:w="4680"/>
            <w:vAlign w:val="center"/>
          </w:tcPr>
          <w:p>
            <w:pPr>
              <w:spacing w:after="20"/>
            </w:pPr>
            <w:r>
              <w:rPr>
                <w:sz w:val="15"/>
              </w:rPr>
              <w:t>Quote displays token units, fees, gas, timestamp and refresh behavior</w:t>
            </w:r>
          </w:p>
        </w:tc>
      </w:tr>
      <w:tr>
        <w:tc>
          <w:tcPr>
            <w:tcW w:type="dxa" w:w="1152"/>
            <w:vAlign w:val="center"/>
            <w:shd w:fill="F5F2EC"/>
          </w:tcPr>
          <w:p>
            <w:pPr>
              <w:spacing w:after="20"/>
            </w:pPr>
            <w:r>
              <w:rPr>
                <w:sz w:val="15"/>
              </w:rPr>
              <w:t>AT-04</w:t>
            </w:r>
          </w:p>
        </w:tc>
        <w:tc>
          <w:tcPr>
            <w:tcW w:type="dxa" w:w="3528"/>
            <w:vAlign w:val="center"/>
            <w:shd w:fill="F5F2EC"/>
          </w:tcPr>
          <w:p>
            <w:pPr>
              <w:spacing w:after="20"/>
            </w:pPr>
            <w:r>
              <w:rPr>
                <w:sz w:val="15"/>
              </w:rPr>
              <w:t>ERC-20 -&gt; ETH with insufficient allowance</w:t>
            </w:r>
          </w:p>
        </w:tc>
        <w:tc>
          <w:tcPr>
            <w:tcW w:type="dxa" w:w="4680"/>
            <w:vAlign w:val="center"/>
            <w:shd w:fill="F5F2EC"/>
          </w:tcPr>
          <w:p>
            <w:pPr>
              <w:spacing w:after="20"/>
            </w:pPr>
            <w:r>
              <w:rPr>
                <w:sz w:val="15"/>
              </w:rPr>
              <w:t>Only expected AllowanceHolder approval requested; no approval to Settler</w:t>
            </w:r>
          </w:p>
        </w:tc>
      </w:tr>
      <w:tr>
        <w:tc>
          <w:tcPr>
            <w:tcW w:type="dxa" w:w="1152"/>
            <w:vAlign w:val="center"/>
          </w:tcPr>
          <w:p>
            <w:pPr>
              <w:spacing w:after="20"/>
            </w:pPr>
            <w:r>
              <w:rPr>
                <w:sz w:val="15"/>
              </w:rPr>
              <w:t>AT-05</w:t>
            </w:r>
          </w:p>
        </w:tc>
        <w:tc>
          <w:tcPr>
            <w:tcW w:type="dxa" w:w="3528"/>
            <w:vAlign w:val="center"/>
          </w:tcPr>
          <w:p>
            <w:pPr>
              <w:spacing w:after="20"/>
            </w:pPr>
            <w:r>
              <w:rPr>
                <w:sz w:val="15"/>
              </w:rPr>
              <w:t>User rejects signature</w:t>
            </w:r>
          </w:p>
        </w:tc>
        <w:tc>
          <w:tcPr>
            <w:tcW w:type="dxa" w:w="4680"/>
            <w:vAlign w:val="center"/>
          </w:tcPr>
          <w:p>
            <w:pPr>
              <w:spacing w:after="20"/>
            </w:pPr>
            <w:r>
              <w:rPr>
                <w:sz w:val="15"/>
              </w:rPr>
              <w:t>No order broadcast; recoverable UI state and clear message</w:t>
            </w:r>
          </w:p>
        </w:tc>
      </w:tr>
      <w:tr>
        <w:tc>
          <w:tcPr>
            <w:tcW w:type="dxa" w:w="1152"/>
            <w:vAlign w:val="center"/>
            <w:shd w:fill="F5F2EC"/>
          </w:tcPr>
          <w:p>
            <w:pPr>
              <w:spacing w:after="20"/>
            </w:pPr>
            <w:r>
              <w:rPr>
                <w:sz w:val="15"/>
              </w:rPr>
              <w:t>AT-06</w:t>
            </w:r>
          </w:p>
        </w:tc>
        <w:tc>
          <w:tcPr>
            <w:tcW w:type="dxa" w:w="3528"/>
            <w:vAlign w:val="center"/>
            <w:shd w:fill="F5F2EC"/>
          </w:tcPr>
          <w:p>
            <w:pPr>
              <w:spacing w:after="20"/>
            </w:pPr>
            <w:r>
              <w:rPr>
                <w:sz w:val="15"/>
              </w:rPr>
              <w:t>Stale quote or changing markets</w:t>
            </w:r>
          </w:p>
        </w:tc>
        <w:tc>
          <w:tcPr>
            <w:tcW w:type="dxa" w:w="4680"/>
            <w:vAlign w:val="center"/>
            <w:shd w:fill="F5F2EC"/>
          </w:tcPr>
          <w:p>
            <w:pPr>
              <w:spacing w:after="20"/>
            </w:pPr>
            <w:r>
              <w:rPr>
                <w:sz w:val="15"/>
              </w:rPr>
              <w:t>Fresh quote required, changes surfaced, cannot silently execute stale amounts</w:t>
            </w:r>
          </w:p>
        </w:tc>
      </w:tr>
      <w:tr>
        <w:tc>
          <w:tcPr>
            <w:tcW w:type="dxa" w:w="1152"/>
            <w:vAlign w:val="center"/>
          </w:tcPr>
          <w:p>
            <w:pPr>
              <w:spacing w:after="20"/>
            </w:pPr>
            <w:r>
              <w:rPr>
                <w:sz w:val="15"/>
              </w:rPr>
              <w:t>AT-07</w:t>
            </w:r>
          </w:p>
        </w:tc>
        <w:tc>
          <w:tcPr>
            <w:tcW w:type="dxa" w:w="3528"/>
            <w:vAlign w:val="center"/>
          </w:tcPr>
          <w:p>
            <w:pPr>
              <w:spacing w:after="20"/>
            </w:pPr>
            <w:r>
              <w:rPr>
                <w:sz w:val="15"/>
              </w:rPr>
              <w:t>Set slippage limit</w:t>
            </w:r>
          </w:p>
        </w:tc>
        <w:tc>
          <w:tcPr>
            <w:tcW w:type="dxa" w:w="4680"/>
            <w:vAlign w:val="center"/>
          </w:tcPr>
          <w:p>
            <w:pPr>
              <w:spacing w:after="20"/>
            </w:pPr>
            <w:r>
              <w:rPr>
                <w:sz w:val="15"/>
              </w:rPr>
              <w:t>Min received presented and execution respects quote/contract guardrails</w:t>
            </w:r>
          </w:p>
        </w:tc>
      </w:tr>
      <w:tr>
        <w:tc>
          <w:tcPr>
            <w:tcW w:type="dxa" w:w="1152"/>
            <w:vAlign w:val="center"/>
            <w:shd w:fill="F5F2EC"/>
          </w:tcPr>
          <w:p>
            <w:pPr>
              <w:spacing w:after="20"/>
            </w:pPr>
            <w:r>
              <w:rPr>
                <w:sz w:val="15"/>
              </w:rPr>
              <w:t>AT-08</w:t>
            </w:r>
          </w:p>
        </w:tc>
        <w:tc>
          <w:tcPr>
            <w:tcW w:type="dxa" w:w="3528"/>
            <w:vAlign w:val="center"/>
            <w:shd w:fill="F5F2EC"/>
          </w:tcPr>
          <w:p>
            <w:pPr>
              <w:spacing w:after="20"/>
            </w:pPr>
            <w:r>
              <w:rPr>
                <w:sz w:val="15"/>
              </w:rPr>
              <w:t>Insufficient token/ETH for gas</w:t>
            </w:r>
          </w:p>
        </w:tc>
        <w:tc>
          <w:tcPr>
            <w:tcW w:type="dxa" w:w="4680"/>
            <w:vAlign w:val="center"/>
            <w:shd w:fill="F5F2EC"/>
          </w:tcPr>
          <w:p>
            <w:pPr>
              <w:spacing w:after="20"/>
            </w:pPr>
            <w:r>
              <w:rPr>
                <w:sz w:val="15"/>
              </w:rPr>
              <w:t>Transaction action disabled with precise explanation</w:t>
            </w:r>
          </w:p>
        </w:tc>
      </w:tr>
      <w:tr>
        <w:tc>
          <w:tcPr>
            <w:tcW w:type="dxa" w:w="1152"/>
            <w:vAlign w:val="center"/>
          </w:tcPr>
          <w:p>
            <w:pPr>
              <w:spacing w:after="20"/>
            </w:pPr>
            <w:r>
              <w:rPr>
                <w:sz w:val="15"/>
              </w:rPr>
              <w:t>AT-09</w:t>
            </w:r>
          </w:p>
        </w:tc>
        <w:tc>
          <w:tcPr>
            <w:tcW w:type="dxa" w:w="3528"/>
            <w:vAlign w:val="center"/>
          </w:tcPr>
          <w:p>
            <w:pPr>
              <w:spacing w:after="20"/>
            </w:pPr>
            <w:r>
              <w:rPr>
                <w:sz w:val="15"/>
              </w:rPr>
              <w:t>Unsupported or malicious token</w:t>
            </w:r>
          </w:p>
        </w:tc>
        <w:tc>
          <w:tcPr>
            <w:tcW w:type="dxa" w:w="4680"/>
            <w:vAlign w:val="center"/>
          </w:tcPr>
          <w:p>
            <w:pPr>
              <w:spacing w:after="20"/>
            </w:pPr>
            <w:r>
              <w:rPr>
                <w:sz w:val="15"/>
              </w:rPr>
              <w:t>Excluded from token picker and server-side request blocked</w:t>
            </w:r>
          </w:p>
        </w:tc>
      </w:tr>
      <w:tr>
        <w:tc>
          <w:tcPr>
            <w:tcW w:type="dxa" w:w="1152"/>
            <w:vAlign w:val="center"/>
            <w:shd w:fill="F5F2EC"/>
          </w:tcPr>
          <w:p>
            <w:pPr>
              <w:spacing w:after="20"/>
            </w:pPr>
            <w:r>
              <w:rPr>
                <w:sz w:val="15"/>
              </w:rPr>
              <w:t>AT-10</w:t>
            </w:r>
          </w:p>
        </w:tc>
        <w:tc>
          <w:tcPr>
            <w:tcW w:type="dxa" w:w="3528"/>
            <w:vAlign w:val="center"/>
            <w:shd w:fill="F5F2EC"/>
          </w:tcPr>
          <w:p>
            <w:pPr>
              <w:spacing w:after="20"/>
            </w:pPr>
            <w:r>
              <w:rPr>
                <w:sz w:val="15"/>
              </w:rPr>
              <w:t>Confirmed swap</w:t>
            </w:r>
          </w:p>
        </w:tc>
        <w:tc>
          <w:tcPr>
            <w:tcW w:type="dxa" w:w="4680"/>
            <w:vAlign w:val="center"/>
            <w:shd w:fill="F5F2EC"/>
          </w:tcPr>
          <w:p>
            <w:pPr>
              <w:spacing w:after="20"/>
            </w:pPr>
            <w:r>
              <w:rPr>
                <w:sz w:val="15"/>
              </w:rPr>
              <w:t>Real wallet and BaseScan receipt verified; history updates correctly</w:t>
            </w:r>
          </w:p>
        </w:tc>
      </w:tr>
      <w:tr>
        <w:tc>
          <w:tcPr>
            <w:tcW w:type="dxa" w:w="1152"/>
            <w:vAlign w:val="center"/>
          </w:tcPr>
          <w:p>
            <w:pPr>
              <w:spacing w:after="20"/>
            </w:pPr>
            <w:r>
              <w:rPr>
                <w:sz w:val="15"/>
              </w:rPr>
              <w:t>AT-11</w:t>
            </w:r>
          </w:p>
        </w:tc>
        <w:tc>
          <w:tcPr>
            <w:tcW w:type="dxa" w:w="3528"/>
            <w:vAlign w:val="center"/>
          </w:tcPr>
          <w:p>
            <w:pPr>
              <w:spacing w:after="20"/>
            </w:pPr>
            <w:r>
              <w:rPr>
                <w:sz w:val="15"/>
              </w:rPr>
              <w:t>Reverted swap</w:t>
            </w:r>
          </w:p>
        </w:tc>
        <w:tc>
          <w:tcPr>
            <w:tcW w:type="dxa" w:w="4680"/>
            <w:vAlign w:val="center"/>
          </w:tcPr>
          <w:p>
            <w:pPr>
              <w:spacing w:after="20"/>
            </w:pPr>
            <w:r>
              <w:rPr>
                <w:sz w:val="15"/>
              </w:rPr>
              <w:t>Accurate reverted status with transaction link; no revenue counted</w:t>
            </w:r>
          </w:p>
        </w:tc>
      </w:tr>
      <w:tr>
        <w:tc>
          <w:tcPr>
            <w:tcW w:type="dxa" w:w="1152"/>
            <w:vAlign w:val="center"/>
            <w:shd w:fill="F5F2EC"/>
          </w:tcPr>
          <w:p>
            <w:pPr>
              <w:spacing w:after="20"/>
            </w:pPr>
            <w:r>
              <w:rPr>
                <w:sz w:val="15"/>
              </w:rPr>
              <w:t>AT-12</w:t>
            </w:r>
          </w:p>
        </w:tc>
        <w:tc>
          <w:tcPr>
            <w:tcW w:type="dxa" w:w="3528"/>
            <w:vAlign w:val="center"/>
            <w:shd w:fill="F5F2EC"/>
          </w:tcPr>
          <w:p>
            <w:pPr>
              <w:spacing w:after="20"/>
            </w:pPr>
            <w:r>
              <w:rPr>
                <w:sz w:val="15"/>
              </w:rPr>
              <w:t>Fee reconciliation</w:t>
            </w:r>
          </w:p>
        </w:tc>
        <w:tc>
          <w:tcPr>
            <w:tcW w:type="dxa" w:w="4680"/>
            <w:vAlign w:val="center"/>
            <w:shd w:fill="F5F2EC"/>
          </w:tcPr>
          <w:p>
            <w:pPr>
              <w:spacing w:after="20"/>
            </w:pPr>
            <w:r>
              <w:rPr>
                <w:sz w:val="15"/>
              </w:rPr>
              <w:t>Actual fee receipt matches onchain/event provider evidence within token-unit precision</w:t>
            </w:r>
          </w:p>
        </w:tc>
      </w:tr>
      <w:tr>
        <w:tc>
          <w:tcPr>
            <w:tcW w:type="dxa" w:w="1152"/>
            <w:vAlign w:val="center"/>
          </w:tcPr>
          <w:p>
            <w:pPr>
              <w:spacing w:after="20"/>
            </w:pPr>
            <w:r>
              <w:rPr>
                <w:sz w:val="15"/>
              </w:rPr>
              <w:t>AT-13</w:t>
            </w:r>
          </w:p>
        </w:tc>
        <w:tc>
          <w:tcPr>
            <w:tcW w:type="dxa" w:w="3528"/>
            <w:vAlign w:val="center"/>
          </w:tcPr>
          <w:p>
            <w:pPr>
              <w:spacing w:after="20"/>
            </w:pPr>
            <w:r>
              <w:rPr>
                <w:sz w:val="15"/>
              </w:rPr>
              <w:t>Provider/RPC failure</w:t>
            </w:r>
          </w:p>
        </w:tc>
        <w:tc>
          <w:tcPr>
            <w:tcW w:type="dxa" w:w="4680"/>
            <w:vAlign w:val="center"/>
          </w:tcPr>
          <w:p>
            <w:pPr>
              <w:spacing w:after="20"/>
            </w:pPr>
            <w:r>
              <w:rPr>
                <w:sz w:val="15"/>
              </w:rPr>
              <w:t>Graceful error, retry with backoff, no misleading success state</w:t>
            </w:r>
          </w:p>
        </w:tc>
      </w:tr>
      <w:tr>
        <w:tc>
          <w:tcPr>
            <w:tcW w:type="dxa" w:w="1152"/>
            <w:vAlign w:val="center"/>
            <w:shd w:fill="F5F2EC"/>
          </w:tcPr>
          <w:p>
            <w:pPr>
              <w:spacing w:after="20"/>
            </w:pPr>
            <w:r>
              <w:rPr>
                <w:sz w:val="15"/>
              </w:rPr>
              <w:t>AT-14</w:t>
            </w:r>
          </w:p>
        </w:tc>
        <w:tc>
          <w:tcPr>
            <w:tcW w:type="dxa" w:w="3528"/>
            <w:vAlign w:val="center"/>
            <w:shd w:fill="F5F2EC"/>
          </w:tcPr>
          <w:p>
            <w:pPr>
              <w:spacing w:after="20"/>
            </w:pPr>
            <w:r>
              <w:rPr>
                <w:sz w:val="15"/>
              </w:rPr>
              <w:t>Mobile and accessibility</w:t>
            </w:r>
          </w:p>
        </w:tc>
        <w:tc>
          <w:tcPr>
            <w:tcW w:type="dxa" w:w="4680"/>
            <w:vAlign w:val="center"/>
            <w:shd w:fill="F5F2EC"/>
          </w:tcPr>
          <w:p>
            <w:pPr>
              <w:spacing w:after="20"/>
            </w:pPr>
            <w:r>
              <w:rPr>
                <w:sz w:val="15"/>
              </w:rPr>
              <w:t>360px/390px/768px/1440px; keyboard, contrast and screen reader tests</w:t>
            </w:r>
          </w:p>
        </w:tc>
      </w:tr>
      <w:tr>
        <w:tc>
          <w:tcPr>
            <w:tcW w:type="dxa" w:w="1152"/>
            <w:vAlign w:val="center"/>
          </w:tcPr>
          <w:p>
            <w:pPr>
              <w:spacing w:after="20"/>
            </w:pPr>
            <w:r>
              <w:rPr>
                <w:sz w:val="15"/>
              </w:rPr>
              <w:t>AT-15</w:t>
            </w:r>
          </w:p>
        </w:tc>
        <w:tc>
          <w:tcPr>
            <w:tcW w:type="dxa" w:w="3528"/>
            <w:vAlign w:val="center"/>
          </w:tcPr>
          <w:p>
            <w:pPr>
              <w:spacing w:after="20"/>
            </w:pPr>
            <w:r>
              <w:rPr>
                <w:sz w:val="15"/>
              </w:rPr>
              <w:t>Secrets and security</w:t>
            </w:r>
          </w:p>
        </w:tc>
        <w:tc>
          <w:tcPr>
            <w:tcW w:type="dxa" w:w="4680"/>
            <w:vAlign w:val="center"/>
          </w:tcPr>
          <w:p>
            <w:pPr>
              <w:spacing w:after="20"/>
            </w:pPr>
            <w:r>
              <w:rPr>
                <w:sz w:val="15"/>
              </w:rPr>
              <w:t>0x keys not exposed; pentest has no unresolved critical/high issues</w:t>
            </w:r>
          </w:p>
        </w:tc>
      </w:tr>
    </w:tbl>
    <w:p/>
    <w:p>
      <w:pPr>
        <w:pStyle w:val="Heading1"/>
      </w:pPr>
      <w:r>
        <w:t>9. Phased delivery roadmap</w:t>
      </w:r>
    </w:p>
    <w:tbl>
      <w:tblPr>
        <w:tblStyle w:val="LightShading-Accent1"/>
        <w:tblW w:type="auto" w:w="0"/>
        <w:jc w:val="center"/>
        <w:tblLook w:firstColumn="1" w:firstRow="1" w:lastColumn="0" w:lastRow="0" w:noHBand="0" w:noVBand="1" w:val="04A0"/>
      </w:tblPr>
      <w:tblGrid>
        <w:gridCol w:w="3273"/>
        <w:gridCol w:w="3273"/>
        <w:gridCol w:w="3273"/>
      </w:tblGrid>
      <w:tr>
        <w:tc>
          <w:tcPr>
            <w:tcW w:type="dxa" w:w="2088"/>
            <w:shd w:fill="1B2029"/>
          </w:tcPr>
          <w:p>
            <w:r>
              <w:rPr>
                <w:b/>
                <w:color w:val="FFFFFF"/>
                <w:sz w:val="16"/>
              </w:rPr>
              <w:t>Phase</w:t>
            </w:r>
          </w:p>
        </w:tc>
        <w:tc>
          <w:tcPr>
            <w:tcW w:type="dxa" w:w="1584"/>
            <w:shd w:fill="1B2029"/>
          </w:tcPr>
          <w:p>
            <w:r>
              <w:rPr>
                <w:b/>
                <w:color w:val="FFFFFF"/>
                <w:sz w:val="16"/>
              </w:rPr>
              <w:t>Indicative period</w:t>
            </w:r>
          </w:p>
        </w:tc>
        <w:tc>
          <w:tcPr>
            <w:tcW w:type="dxa" w:w="5688"/>
            <w:shd w:fill="1B2029"/>
          </w:tcPr>
          <w:p>
            <w:r>
              <w:rPr>
                <w:b/>
                <w:color w:val="FFFFFF"/>
                <w:sz w:val="16"/>
              </w:rPr>
              <w:t>Output / exit gate</w:t>
            </w:r>
          </w:p>
        </w:tc>
      </w:tr>
      <w:tr>
        <w:tc>
          <w:tcPr>
            <w:tcW w:type="dxa" w:w="2088"/>
            <w:vAlign w:val="center"/>
          </w:tcPr>
          <w:p>
            <w:pPr>
              <w:spacing w:after="20"/>
            </w:pPr>
            <w:r>
              <w:rPr>
                <w:sz w:val="15"/>
              </w:rPr>
              <w:t>0. Discovery, compliance</w:t>
            </w:r>
          </w:p>
        </w:tc>
        <w:tc>
          <w:tcPr>
            <w:tcW w:type="dxa" w:w="1584"/>
            <w:vAlign w:val="center"/>
          </w:tcPr>
          <w:p>
            <w:pPr>
              <w:spacing w:after="20"/>
            </w:pPr>
            <w:r>
              <w:rPr>
                <w:sz w:val="15"/>
              </w:rPr>
              <w:t>Weeks 1–2</w:t>
            </w:r>
          </w:p>
        </w:tc>
        <w:tc>
          <w:tcPr>
            <w:tcW w:type="dxa" w:w="5688"/>
            <w:vAlign w:val="center"/>
          </w:tcPr>
          <w:p>
            <w:pPr>
              <w:spacing w:after="20"/>
            </w:pPr>
            <w:r>
              <w:rPr>
                <w:sz w:val="15"/>
              </w:rPr>
              <w:t>PRD signed; 0x credentials/commercial terms; chain and token list; counsel gate G1 plan</w:t>
            </w:r>
          </w:p>
        </w:tc>
      </w:tr>
      <w:tr>
        <w:tc>
          <w:tcPr>
            <w:tcW w:type="dxa" w:w="2088"/>
            <w:vAlign w:val="center"/>
            <w:shd w:fill="F5F2EC"/>
          </w:tcPr>
          <w:p>
            <w:pPr>
              <w:spacing w:after="20"/>
            </w:pPr>
            <w:r>
              <w:rPr>
                <w:sz w:val="15"/>
              </w:rPr>
              <w:t>1. UX and foundation</w:t>
            </w:r>
          </w:p>
        </w:tc>
        <w:tc>
          <w:tcPr>
            <w:tcW w:type="dxa" w:w="1584"/>
            <w:vAlign w:val="center"/>
            <w:shd w:fill="F5F2EC"/>
          </w:tcPr>
          <w:p>
            <w:pPr>
              <w:spacing w:after="20"/>
            </w:pPr>
            <w:r>
              <w:rPr>
                <w:sz w:val="15"/>
              </w:rPr>
              <w:t>Weeks 2–4</w:t>
            </w:r>
          </w:p>
        </w:tc>
        <w:tc>
          <w:tcPr>
            <w:tcW w:type="dxa" w:w="5688"/>
            <w:vAlign w:val="center"/>
            <w:shd w:fill="F5F2EC"/>
          </w:tcPr>
          <w:p>
            <w:pPr>
              <w:spacing w:after="20"/>
            </w:pPr>
            <w:r>
              <w:rPr>
                <w:sz w:val="15"/>
              </w:rPr>
              <w:t>Design system, responsive pages, CI/CD, wallet connectors, basic monitoring</w:t>
            </w:r>
          </w:p>
        </w:tc>
      </w:tr>
      <w:tr>
        <w:tc>
          <w:tcPr>
            <w:tcW w:type="dxa" w:w="2088"/>
            <w:vAlign w:val="center"/>
          </w:tcPr>
          <w:p>
            <w:pPr>
              <w:spacing w:after="20"/>
            </w:pPr>
            <w:r>
              <w:rPr>
                <w:sz w:val="15"/>
              </w:rPr>
              <w:t>2. Quote &amp; execution</w:t>
            </w:r>
          </w:p>
        </w:tc>
        <w:tc>
          <w:tcPr>
            <w:tcW w:type="dxa" w:w="1584"/>
            <w:vAlign w:val="center"/>
          </w:tcPr>
          <w:p>
            <w:pPr>
              <w:spacing w:after="20"/>
            </w:pPr>
            <w:r>
              <w:rPr>
                <w:sz w:val="15"/>
              </w:rPr>
              <w:t>Weeks 4–7</w:t>
            </w:r>
          </w:p>
        </w:tc>
        <w:tc>
          <w:tcPr>
            <w:tcW w:type="dxa" w:w="5688"/>
            <w:vAlign w:val="center"/>
          </w:tcPr>
          <w:p>
            <w:pPr>
              <w:spacing w:after="20"/>
            </w:pPr>
            <w:r>
              <w:rPr>
                <w:sz w:val="15"/>
              </w:rPr>
              <w:t>0x price/quote proxy, allowance, wallet tx, validation, fee transparency</w:t>
            </w:r>
          </w:p>
        </w:tc>
      </w:tr>
      <w:tr>
        <w:tc>
          <w:tcPr>
            <w:tcW w:type="dxa" w:w="2088"/>
            <w:vAlign w:val="center"/>
            <w:shd w:fill="F5F2EC"/>
          </w:tcPr>
          <w:p>
            <w:pPr>
              <w:spacing w:after="20"/>
            </w:pPr>
            <w:r>
              <w:rPr>
                <w:sz w:val="15"/>
              </w:rPr>
              <w:t>3. History/admin</w:t>
            </w:r>
          </w:p>
        </w:tc>
        <w:tc>
          <w:tcPr>
            <w:tcW w:type="dxa" w:w="1584"/>
            <w:vAlign w:val="center"/>
            <w:shd w:fill="F5F2EC"/>
          </w:tcPr>
          <w:p>
            <w:pPr>
              <w:spacing w:after="20"/>
            </w:pPr>
            <w:r>
              <w:rPr>
                <w:sz w:val="15"/>
              </w:rPr>
              <w:t>Weeks 7–9</w:t>
            </w:r>
          </w:p>
        </w:tc>
        <w:tc>
          <w:tcPr>
            <w:tcW w:type="dxa" w:w="5688"/>
            <w:vAlign w:val="center"/>
            <w:shd w:fill="F5F2EC"/>
          </w:tcPr>
          <w:p>
            <w:pPr>
              <w:spacing w:after="20"/>
            </w:pPr>
            <w:r>
              <w:rPr>
                <w:sz w:val="15"/>
              </w:rPr>
              <w:t>Receipt/indexing flow, analytics, logs, dashboard and support states</w:t>
            </w:r>
          </w:p>
        </w:tc>
      </w:tr>
      <w:tr>
        <w:tc>
          <w:tcPr>
            <w:tcW w:type="dxa" w:w="2088"/>
            <w:vAlign w:val="center"/>
          </w:tcPr>
          <w:p>
            <w:pPr>
              <w:spacing w:after="20"/>
            </w:pPr>
            <w:r>
              <w:rPr>
                <w:sz w:val="15"/>
              </w:rPr>
              <w:t>4. Hardening/audit</w:t>
            </w:r>
          </w:p>
        </w:tc>
        <w:tc>
          <w:tcPr>
            <w:tcW w:type="dxa" w:w="1584"/>
            <w:vAlign w:val="center"/>
          </w:tcPr>
          <w:p>
            <w:pPr>
              <w:spacing w:after="20"/>
            </w:pPr>
            <w:r>
              <w:rPr>
                <w:sz w:val="15"/>
              </w:rPr>
              <w:t>Weeks 9–11</w:t>
            </w:r>
          </w:p>
        </w:tc>
        <w:tc>
          <w:tcPr>
            <w:tcW w:type="dxa" w:w="5688"/>
            <w:vAlign w:val="center"/>
          </w:tcPr>
          <w:p>
            <w:pPr>
              <w:spacing w:after="20"/>
            </w:pPr>
            <w:r>
              <w:rPr>
                <w:sz w:val="15"/>
              </w:rPr>
              <w:t>Threat tests, E2E, load testing, independent review, remediation</w:t>
            </w:r>
          </w:p>
        </w:tc>
      </w:tr>
      <w:tr>
        <w:tc>
          <w:tcPr>
            <w:tcW w:type="dxa" w:w="2088"/>
            <w:vAlign w:val="center"/>
            <w:shd w:fill="F5F2EC"/>
          </w:tcPr>
          <w:p>
            <w:pPr>
              <w:spacing w:after="20"/>
            </w:pPr>
            <w:r>
              <w:rPr>
                <w:sz w:val="15"/>
              </w:rPr>
              <w:t>5. Launch readiness</w:t>
            </w:r>
          </w:p>
        </w:tc>
        <w:tc>
          <w:tcPr>
            <w:tcW w:type="dxa" w:w="1584"/>
            <w:vAlign w:val="center"/>
            <w:shd w:fill="F5F2EC"/>
          </w:tcPr>
          <w:p>
            <w:pPr>
              <w:spacing w:after="20"/>
            </w:pPr>
            <w:r>
              <w:rPr>
                <w:sz w:val="15"/>
              </w:rPr>
              <w:t>Weeks 11–12+</w:t>
            </w:r>
          </w:p>
        </w:tc>
        <w:tc>
          <w:tcPr>
            <w:tcW w:type="dxa" w:w="5688"/>
            <w:vAlign w:val="center"/>
            <w:shd w:fill="F5F2EC"/>
          </w:tcPr>
          <w:p>
            <w:pPr>
              <w:spacing w:after="20"/>
            </w:pPr>
            <w:r>
              <w:rPr>
                <w:sz w:val="15"/>
              </w:rPr>
              <w:t>Legal signoff, production controls, small pilot, feature flags and rollback</w:t>
            </w:r>
          </w:p>
        </w:tc>
      </w:tr>
    </w:tbl>
    <w:p/>
    <w:p>
      <w:r>
        <w:t>Schedule assumes one experienced full-stack/Web3 engineer plus part-time UX, QA/security and product management. Legal gating, wallet-provider changes, and audit findings can extend the timeline. Work on UI/testing can proceed before legal clearance; live offering cannot.</w:t>
      </w:r>
    </w:p>
    <w:p>
      <w:pPr>
        <w:pStyle w:val="Heading2"/>
      </w:pPr>
      <w:r>
        <w:t>9.1 Engineering work packages</w:t>
      </w:r>
    </w:p>
    <w:p>
      <w:pPr>
        <w:pStyle w:val="ListBullet"/>
      </w:pPr>
      <w:r>
        <w:t>WP1 Design: token selector, quote card, approval UX, fee details, dark black/gold theme, mobile accessibility.</w:t>
      </w:r>
    </w:p>
    <w:p>
      <w:pPr>
        <w:pStyle w:val="ListBullet"/>
      </w:pPr>
      <w:r>
        <w:t>WP2 Wallet: connectors, chain switching, balances, transactions, disconnect and session lifecycle.</w:t>
      </w:r>
    </w:p>
    <w:p>
      <w:pPr>
        <w:pStyle w:val="ListBullet"/>
      </w:pPr>
      <w:r>
        <w:t>WP3 Pricing: 0x server adapter, error normalizer, quote caching discipline, fee calculation and quote freshness.</w:t>
      </w:r>
    </w:p>
    <w:p>
      <w:pPr>
        <w:pStyle w:val="ListBullet"/>
      </w:pPr>
      <w:r>
        <w:t>WP4 Execution: ERC-20 approval, spender validation, simulation where feasible, wallet broadcast, receipt tracking.</w:t>
      </w:r>
    </w:p>
    <w:p>
      <w:pPr>
        <w:pStyle w:val="ListBullet"/>
      </w:pPr>
      <w:r>
        <w:t>WP5 Admin: feature flags, token allowlist, fee configuration with dual approval, analytics and alerts.</w:t>
      </w:r>
    </w:p>
    <w:p>
      <w:pPr>
        <w:pStyle w:val="ListBullet"/>
      </w:pPr>
      <w:r>
        <w:t>WP6 QA/DevSecOps: automated tests, secret management, monitoring, deployment runbooks, outside review.</w:t>
      </w:r>
    </w:p>
    <w:p>
      <w:pPr>
        <w:pStyle w:val="Heading1"/>
      </w:pPr>
      <w:r>
        <w:t>10. Cost estimates and staffing</w:t>
      </w:r>
    </w:p>
    <w:p>
      <w:r>
        <w:t>Planning estimates in USD for a production-oriented aggregator MVP; ranges depend heavily on engineering location, scope, audit depth, and provider commercial terms. These are not vendor quotes.</w:t>
      </w:r>
    </w:p>
    <w:tbl>
      <w:tblPr>
        <w:tblStyle w:val="LightShading-Accent1"/>
        <w:tblW w:type="auto" w:w="0"/>
        <w:jc w:val="center"/>
        <w:tblLook w:firstColumn="1" w:firstRow="1" w:lastColumn="0" w:lastRow="0" w:noHBand="0" w:noVBand="1" w:val="04A0"/>
      </w:tblPr>
      <w:tblGrid>
        <w:gridCol w:w="3273"/>
        <w:gridCol w:w="3273"/>
        <w:gridCol w:w="3273"/>
      </w:tblGrid>
      <w:tr>
        <w:tc>
          <w:tcPr>
            <w:tcW w:type="dxa" w:w="4824"/>
            <w:shd w:fill="1B2029"/>
          </w:tcPr>
          <w:p>
            <w:r>
              <w:rPr>
                <w:b/>
                <w:color w:val="FFFFFF"/>
                <w:sz w:val="16"/>
              </w:rPr>
              <w:t>Cost category</w:t>
            </w:r>
          </w:p>
        </w:tc>
        <w:tc>
          <w:tcPr>
            <w:tcW w:type="dxa" w:w="2016"/>
            <w:shd w:fill="1B2029"/>
          </w:tcPr>
          <w:p>
            <w:r>
              <w:rPr>
                <w:b/>
                <w:color w:val="FFFFFF"/>
                <w:sz w:val="16"/>
              </w:rPr>
              <w:t>Low</w:t>
            </w:r>
          </w:p>
        </w:tc>
        <w:tc>
          <w:tcPr>
            <w:tcW w:type="dxa" w:w="2376"/>
            <w:shd w:fill="1B2029"/>
          </w:tcPr>
          <w:p>
            <w:r>
              <w:rPr>
                <w:b/>
                <w:color w:val="FFFFFF"/>
                <w:sz w:val="16"/>
              </w:rPr>
              <w:t>High</w:t>
            </w:r>
          </w:p>
        </w:tc>
      </w:tr>
      <w:tr>
        <w:tc>
          <w:tcPr>
            <w:tcW w:type="dxa" w:w="4824"/>
            <w:vAlign w:val="center"/>
          </w:tcPr>
          <w:p>
            <w:pPr>
              <w:spacing w:after="20"/>
            </w:pPr>
            <w:r>
              <w:rPr>
                <w:sz w:val="15"/>
              </w:rPr>
              <w:t>Product / UX / design</w:t>
            </w:r>
          </w:p>
        </w:tc>
        <w:tc>
          <w:tcPr>
            <w:tcW w:type="dxa" w:w="2016"/>
            <w:vAlign w:val="center"/>
          </w:tcPr>
          <w:p>
            <w:pPr>
              <w:spacing w:after="20"/>
            </w:pPr>
            <w:r>
              <w:rPr>
                <w:sz w:val="15"/>
              </w:rPr>
              <w:t>$2,000</w:t>
            </w:r>
          </w:p>
        </w:tc>
        <w:tc>
          <w:tcPr>
            <w:tcW w:type="dxa" w:w="2376"/>
            <w:vAlign w:val="center"/>
          </w:tcPr>
          <w:p>
            <w:pPr>
              <w:spacing w:after="20"/>
            </w:pPr>
            <w:r>
              <w:rPr>
                <w:sz w:val="15"/>
              </w:rPr>
              <w:t>$6,000</w:t>
            </w:r>
          </w:p>
        </w:tc>
      </w:tr>
      <w:tr>
        <w:tc>
          <w:tcPr>
            <w:tcW w:type="dxa" w:w="4824"/>
            <w:vAlign w:val="center"/>
            <w:shd w:fill="F5F2EC"/>
          </w:tcPr>
          <w:p>
            <w:pPr>
              <w:spacing w:after="20"/>
            </w:pPr>
            <w:r>
              <w:rPr>
                <w:sz w:val="15"/>
              </w:rPr>
              <w:t>Frontend + wallets</w:t>
            </w:r>
          </w:p>
        </w:tc>
        <w:tc>
          <w:tcPr>
            <w:tcW w:type="dxa" w:w="2016"/>
            <w:vAlign w:val="center"/>
            <w:shd w:fill="F5F2EC"/>
          </w:tcPr>
          <w:p>
            <w:pPr>
              <w:spacing w:after="20"/>
            </w:pPr>
            <w:r>
              <w:rPr>
                <w:sz w:val="15"/>
              </w:rPr>
              <w:t>$4,000</w:t>
            </w:r>
          </w:p>
        </w:tc>
        <w:tc>
          <w:tcPr>
            <w:tcW w:type="dxa" w:w="2376"/>
            <w:vAlign w:val="center"/>
            <w:shd w:fill="F5F2EC"/>
          </w:tcPr>
          <w:p>
            <w:pPr>
              <w:spacing w:after="20"/>
            </w:pPr>
            <w:r>
              <w:rPr>
                <w:sz w:val="15"/>
              </w:rPr>
              <w:t>$10,000</w:t>
            </w:r>
          </w:p>
        </w:tc>
      </w:tr>
      <w:tr>
        <w:tc>
          <w:tcPr>
            <w:tcW w:type="dxa" w:w="4824"/>
            <w:vAlign w:val="center"/>
          </w:tcPr>
          <w:p>
            <w:pPr>
              <w:spacing w:after="20"/>
            </w:pPr>
            <w:r>
              <w:rPr>
                <w:sz w:val="15"/>
              </w:rPr>
              <w:t>0x execution / backend</w:t>
            </w:r>
          </w:p>
        </w:tc>
        <w:tc>
          <w:tcPr>
            <w:tcW w:type="dxa" w:w="2016"/>
            <w:vAlign w:val="center"/>
          </w:tcPr>
          <w:p>
            <w:pPr>
              <w:spacing w:after="20"/>
            </w:pPr>
            <w:r>
              <w:rPr>
                <w:sz w:val="15"/>
              </w:rPr>
              <w:t>$5,000</w:t>
            </w:r>
          </w:p>
        </w:tc>
        <w:tc>
          <w:tcPr>
            <w:tcW w:type="dxa" w:w="2376"/>
            <w:vAlign w:val="center"/>
          </w:tcPr>
          <w:p>
            <w:pPr>
              <w:spacing w:after="20"/>
            </w:pPr>
            <w:r>
              <w:rPr>
                <w:sz w:val="15"/>
              </w:rPr>
              <w:t>$15,000</w:t>
            </w:r>
          </w:p>
        </w:tc>
      </w:tr>
      <w:tr>
        <w:tc>
          <w:tcPr>
            <w:tcW w:type="dxa" w:w="4824"/>
            <w:vAlign w:val="center"/>
            <w:shd w:fill="F5F2EC"/>
          </w:tcPr>
          <w:p>
            <w:pPr>
              <w:spacing w:after="20"/>
            </w:pPr>
            <w:r>
              <w:rPr>
                <w:sz w:val="15"/>
              </w:rPr>
              <w:t>Analytics / admin / DevOps</w:t>
            </w:r>
          </w:p>
        </w:tc>
        <w:tc>
          <w:tcPr>
            <w:tcW w:type="dxa" w:w="2016"/>
            <w:vAlign w:val="center"/>
            <w:shd w:fill="F5F2EC"/>
          </w:tcPr>
          <w:p>
            <w:pPr>
              <w:spacing w:after="20"/>
            </w:pPr>
            <w:r>
              <w:rPr>
                <w:sz w:val="15"/>
              </w:rPr>
              <w:t>$2,500</w:t>
            </w:r>
          </w:p>
        </w:tc>
        <w:tc>
          <w:tcPr>
            <w:tcW w:type="dxa" w:w="2376"/>
            <w:vAlign w:val="center"/>
            <w:shd w:fill="F5F2EC"/>
          </w:tcPr>
          <w:p>
            <w:pPr>
              <w:spacing w:after="20"/>
            </w:pPr>
            <w:r>
              <w:rPr>
                <w:sz w:val="15"/>
              </w:rPr>
              <w:t>$8,000</w:t>
            </w:r>
          </w:p>
        </w:tc>
      </w:tr>
      <w:tr>
        <w:tc>
          <w:tcPr>
            <w:tcW w:type="dxa" w:w="4824"/>
            <w:vAlign w:val="center"/>
          </w:tcPr>
          <w:p>
            <w:pPr>
              <w:spacing w:after="20"/>
            </w:pPr>
            <w:r>
              <w:rPr>
                <w:sz w:val="15"/>
              </w:rPr>
              <w:t>QA, security review and remediation</w:t>
            </w:r>
          </w:p>
        </w:tc>
        <w:tc>
          <w:tcPr>
            <w:tcW w:type="dxa" w:w="2016"/>
            <w:vAlign w:val="center"/>
          </w:tcPr>
          <w:p>
            <w:pPr>
              <w:spacing w:after="20"/>
            </w:pPr>
            <w:r>
              <w:rPr>
                <w:sz w:val="15"/>
              </w:rPr>
              <w:t>$4,000</w:t>
            </w:r>
          </w:p>
        </w:tc>
        <w:tc>
          <w:tcPr>
            <w:tcW w:type="dxa" w:w="2376"/>
            <w:vAlign w:val="center"/>
          </w:tcPr>
          <w:p>
            <w:pPr>
              <w:spacing w:after="20"/>
            </w:pPr>
            <w:r>
              <w:rPr>
                <w:sz w:val="15"/>
              </w:rPr>
              <w:t>$15,000</w:t>
            </w:r>
          </w:p>
        </w:tc>
      </w:tr>
      <w:tr>
        <w:tc>
          <w:tcPr>
            <w:tcW w:type="dxa" w:w="4824"/>
            <w:vAlign w:val="center"/>
            <w:shd w:fill="F5F2EC"/>
          </w:tcPr>
          <w:p>
            <w:pPr>
              <w:spacing w:after="20"/>
            </w:pPr>
            <w:r>
              <w:rPr>
                <w:sz w:val="15"/>
              </w:rPr>
              <w:t>Technical subtotal</w:t>
            </w:r>
          </w:p>
        </w:tc>
        <w:tc>
          <w:tcPr>
            <w:tcW w:type="dxa" w:w="2016"/>
            <w:vAlign w:val="center"/>
            <w:shd w:fill="F5F2EC"/>
          </w:tcPr>
          <w:p>
            <w:pPr>
              <w:spacing w:after="20"/>
            </w:pPr>
            <w:r>
              <w:rPr>
                <w:sz w:val="15"/>
              </w:rPr>
              <w:t>$17,500</w:t>
            </w:r>
          </w:p>
        </w:tc>
        <w:tc>
          <w:tcPr>
            <w:tcW w:type="dxa" w:w="2376"/>
            <w:vAlign w:val="center"/>
            <w:shd w:fill="F5F2EC"/>
          </w:tcPr>
          <w:p>
            <w:pPr>
              <w:spacing w:after="20"/>
            </w:pPr>
            <w:r>
              <w:rPr>
                <w:sz w:val="15"/>
              </w:rPr>
              <w:t>$54,000</w:t>
            </w:r>
          </w:p>
        </w:tc>
      </w:tr>
      <w:tr>
        <w:tc>
          <w:tcPr>
            <w:tcW w:type="dxa" w:w="4824"/>
            <w:vAlign w:val="center"/>
          </w:tcPr>
          <w:p>
            <w:pPr>
              <w:spacing w:after="20"/>
            </w:pPr>
            <w:r>
              <w:rPr>
                <w:sz w:val="15"/>
              </w:rPr>
              <w:t>External legal / regulatory initial analysis</w:t>
            </w:r>
          </w:p>
        </w:tc>
        <w:tc>
          <w:tcPr>
            <w:tcW w:type="dxa" w:w="2016"/>
            <w:vAlign w:val="center"/>
          </w:tcPr>
          <w:p>
            <w:pPr>
              <w:spacing w:after="20"/>
            </w:pPr>
            <w:r>
              <w:rPr>
                <w:sz w:val="15"/>
              </w:rPr>
              <w:t>$5,000</w:t>
            </w:r>
          </w:p>
        </w:tc>
        <w:tc>
          <w:tcPr>
            <w:tcW w:type="dxa" w:w="2376"/>
            <w:vAlign w:val="center"/>
          </w:tcPr>
          <w:p>
            <w:pPr>
              <w:spacing w:after="20"/>
            </w:pPr>
            <w:r>
              <w:rPr>
                <w:sz w:val="15"/>
              </w:rPr>
              <w:t>$25,000+</w:t>
            </w:r>
          </w:p>
        </w:tc>
      </w:tr>
      <w:tr>
        <w:tc>
          <w:tcPr>
            <w:tcW w:type="dxa" w:w="4824"/>
            <w:vAlign w:val="center"/>
            <w:shd w:fill="F5F2EC"/>
          </w:tcPr>
          <w:p>
            <w:pPr>
              <w:spacing w:after="20"/>
            </w:pPr>
            <w:r>
              <w:rPr>
                <w:sz w:val="15"/>
              </w:rPr>
              <w:t>Contingency (approx 15% technical)</w:t>
            </w:r>
          </w:p>
        </w:tc>
        <w:tc>
          <w:tcPr>
            <w:tcW w:type="dxa" w:w="2016"/>
            <w:vAlign w:val="center"/>
            <w:shd w:fill="F5F2EC"/>
          </w:tcPr>
          <w:p>
            <w:pPr>
              <w:spacing w:after="20"/>
            </w:pPr>
            <w:r>
              <w:rPr>
                <w:sz w:val="15"/>
              </w:rPr>
              <w:t>$2,625</w:t>
            </w:r>
          </w:p>
        </w:tc>
        <w:tc>
          <w:tcPr>
            <w:tcW w:type="dxa" w:w="2376"/>
            <w:vAlign w:val="center"/>
            <w:shd w:fill="F5F2EC"/>
          </w:tcPr>
          <w:p>
            <w:pPr>
              <w:spacing w:after="20"/>
            </w:pPr>
            <w:r>
              <w:rPr>
                <w:sz w:val="15"/>
              </w:rPr>
              <w:t>$8,100</w:t>
            </w:r>
          </w:p>
        </w:tc>
      </w:tr>
      <w:tr>
        <w:tc>
          <w:tcPr>
            <w:tcW w:type="dxa" w:w="4824"/>
            <w:vAlign w:val="center"/>
          </w:tcPr>
          <w:p>
            <w:pPr>
              <w:spacing w:after="20"/>
            </w:pPr>
            <w:r>
              <w:rPr>
                <w:sz w:val="15"/>
              </w:rPr>
              <w:t>Illustrative launch budget</w:t>
            </w:r>
          </w:p>
        </w:tc>
        <w:tc>
          <w:tcPr>
            <w:tcW w:type="dxa" w:w="2016"/>
            <w:vAlign w:val="center"/>
          </w:tcPr>
          <w:p>
            <w:pPr>
              <w:spacing w:after="20"/>
            </w:pPr>
            <w:r>
              <w:rPr>
                <w:sz w:val="15"/>
              </w:rPr>
              <w:t>$25,125</w:t>
            </w:r>
          </w:p>
        </w:tc>
        <w:tc>
          <w:tcPr>
            <w:tcW w:type="dxa" w:w="2376"/>
            <w:vAlign w:val="center"/>
          </w:tcPr>
          <w:p>
            <w:pPr>
              <w:spacing w:after="20"/>
            </w:pPr>
            <w:r>
              <w:rPr>
                <w:sz w:val="15"/>
              </w:rPr>
              <w:t>$87,100+</w:t>
            </w:r>
          </w:p>
        </w:tc>
      </w:tr>
    </w:tbl>
    <w:p/>
    <w:p>
      <w:r>
        <w:t>Additional: production API/RPC/monitoring and hosting approximately $200–$2,000+/month at early scale; independent audit, regulatory licensing, insurance, marketing, customer support and liquidity incentives can be materially greater. If a bespoke AMM or complex smart contracts are introduced, rebuild the estimate rather than treating this as an incremental feature.</w:t>
      </w:r>
    </w:p>
    <w:p>
      <w:pPr>
        <w:pStyle w:val="Heading2"/>
      </w:pPr>
      <w:r>
        <w:t>10.1 Staffing</w:t>
      </w:r>
    </w:p>
    <w:p>
      <w:r>
        <w:t>Delivery owner/product manager (0.25–0.5 FTE); senior full-stack Web3 engineer (1 FTE); UI/UX (part-time); QA automation (part-time); independent security reviewer; part-time DevOps; external digital-asset counsel. Separate signoff for production financial controls and legal scope.</w:t>
      </w:r>
    </w:p>
    <w:p>
      <w:pPr>
        <w:pStyle w:val="Heading1"/>
      </w:pPr>
      <w:r>
        <w:t>11. Launch and incident runbook</w:t>
      </w:r>
    </w:p>
    <w:p>
      <w:pPr>
        <w:pStyle w:val="ListNumber"/>
      </w:pPr>
      <w:r>
        <w:t>Freeze token allowlist, treasury fee recipient, fee bps and connected provider configurations; obtain change signoffs.</w:t>
      </w:r>
    </w:p>
    <w:p>
      <w:pPr>
        <w:pStyle w:val="ListNumber"/>
      </w:pPr>
      <w:r>
        <w:t>Verify production 0x credentials, provider rate limits, base RPC provider/fallback, chain ID and contract addresses against official sources.</w:t>
      </w:r>
    </w:p>
    <w:p>
      <w:pPr>
        <w:pStyle w:val="ListNumber"/>
      </w:pPr>
      <w:r>
        <w:t>Run controlled swaps across ETH/USDC and approved token combinations; verify fee reconciliation and BaseScan receipts.</w:t>
      </w:r>
    </w:p>
    <w:p>
      <w:pPr>
        <w:pStyle w:val="ListNumber"/>
      </w:pPr>
      <w:r>
        <w:t>Enable feature flag for restricted pilot; monitor revert rate, quote p95, unusual recipient/allowance changes and support requests.</w:t>
      </w:r>
    </w:p>
    <w:p>
      <w:pPr>
        <w:pStyle w:val="ListNumber"/>
      </w:pPr>
      <w:r>
        <w:t>Maintain kill switch for quote issuance and production UI swap initiation (does not alter already submitted onchain transactions).</w:t>
      </w:r>
    </w:p>
    <w:p>
      <w:pPr>
        <w:pStyle w:val="ListNumber"/>
      </w:pPr>
      <w:r>
        <w:t>If security incident: disable new quotes, preserve evidence, communicate through authenticated channels, engage counsel and vendors, publish user guidance without promising reversal of onchain transactions.</w:t>
      </w:r>
    </w:p>
    <w:p>
      <w:pPr>
        <w:pStyle w:val="Heading1"/>
      </w:pPr>
      <w:r>
        <w:t>12. Open decisions and signoff</w:t>
      </w:r>
    </w:p>
    <w:tbl>
      <w:tblPr>
        <w:tblStyle w:val="LightShading-Accent1"/>
        <w:tblW w:type="auto" w:w="0"/>
        <w:jc w:val="center"/>
        <w:tblLook w:firstColumn="1" w:firstRow="1" w:lastColumn="0" w:lastRow="0" w:noHBand="0" w:noVBand="1" w:val="04A0"/>
      </w:tblPr>
      <w:tblGrid>
        <w:gridCol w:w="3273"/>
        <w:gridCol w:w="3273"/>
        <w:gridCol w:w="3273"/>
      </w:tblGrid>
      <w:tr>
        <w:tc>
          <w:tcPr>
            <w:tcW w:type="dxa" w:w="2376"/>
            <w:shd w:fill="1B2029"/>
          </w:tcPr>
          <w:p>
            <w:r>
              <w:rPr>
                <w:b/>
                <w:color w:val="FFFFFF"/>
                <w:sz w:val="16"/>
              </w:rPr>
              <w:t>Decision</w:t>
            </w:r>
          </w:p>
        </w:tc>
        <w:tc>
          <w:tcPr>
            <w:tcW w:type="dxa" w:w="4176"/>
            <w:shd w:fill="1B2029"/>
          </w:tcPr>
          <w:p>
            <w:r>
              <w:rPr>
                <w:b/>
                <w:color w:val="FFFFFF"/>
                <w:sz w:val="16"/>
              </w:rPr>
              <w:t>Current default</w:t>
            </w:r>
          </w:p>
        </w:tc>
        <w:tc>
          <w:tcPr>
            <w:tcW w:type="dxa" w:w="2808"/>
            <w:shd w:fill="1B2029"/>
          </w:tcPr>
          <w:p>
            <w:r>
              <w:rPr>
                <w:b/>
                <w:color w:val="FFFFFF"/>
                <w:sz w:val="16"/>
              </w:rPr>
              <w:t>Needs approval from</w:t>
            </w:r>
          </w:p>
        </w:tc>
      </w:tr>
      <w:tr>
        <w:tc>
          <w:tcPr>
            <w:tcW w:type="dxa" w:w="2376"/>
            <w:vAlign w:val="center"/>
          </w:tcPr>
          <w:p>
            <w:pPr>
              <w:spacing w:after="20"/>
            </w:pPr>
            <w:r>
              <w:rPr>
                <w:sz w:val="15"/>
              </w:rPr>
              <w:t>Company / domain and brand rights</w:t>
            </w:r>
          </w:p>
        </w:tc>
        <w:tc>
          <w:tcPr>
            <w:tcW w:type="dxa" w:w="4176"/>
            <w:vAlign w:val="center"/>
          </w:tcPr>
          <w:p>
            <w:pPr>
              <w:spacing w:after="20"/>
            </w:pPr>
            <w:r>
              <w:rPr>
                <w:sz w:val="15"/>
              </w:rPr>
              <w:t>RomaSwap name in working use only</w:t>
            </w:r>
          </w:p>
        </w:tc>
        <w:tc>
          <w:tcPr>
            <w:tcW w:type="dxa" w:w="2808"/>
            <w:vAlign w:val="center"/>
          </w:tcPr>
          <w:p>
            <w:pPr>
              <w:spacing w:after="20"/>
            </w:pPr>
            <w:r>
              <w:rPr>
                <w:sz w:val="15"/>
              </w:rPr>
              <w:t>Legal/brand owner</w:t>
            </w:r>
          </w:p>
        </w:tc>
      </w:tr>
      <w:tr>
        <w:tc>
          <w:tcPr>
            <w:tcW w:type="dxa" w:w="2376"/>
            <w:vAlign w:val="center"/>
            <w:shd w:fill="F5F2EC"/>
          </w:tcPr>
          <w:p>
            <w:pPr>
              <w:spacing w:after="20"/>
            </w:pPr>
            <w:r>
              <w:rPr>
                <w:sz w:val="15"/>
              </w:rPr>
              <w:t>Target territories</w:t>
            </w:r>
          </w:p>
        </w:tc>
        <w:tc>
          <w:tcPr>
            <w:tcW w:type="dxa" w:w="4176"/>
            <w:vAlign w:val="center"/>
            <w:shd w:fill="F5F2EC"/>
          </w:tcPr>
          <w:p>
            <w:pPr>
              <w:spacing w:after="20"/>
            </w:pPr>
            <w:r>
              <w:rPr>
                <w:sz w:val="15"/>
              </w:rPr>
              <w:t>No unrestricted geography until counsel review</w:t>
            </w:r>
          </w:p>
        </w:tc>
        <w:tc>
          <w:tcPr>
            <w:tcW w:type="dxa" w:w="2808"/>
            <w:vAlign w:val="center"/>
            <w:shd w:fill="F5F2EC"/>
          </w:tcPr>
          <w:p>
            <w:pPr>
              <w:spacing w:after="20"/>
            </w:pPr>
            <w:r>
              <w:rPr>
                <w:sz w:val="15"/>
              </w:rPr>
              <w:t>Counsel / product</w:t>
            </w:r>
          </w:p>
        </w:tc>
      </w:tr>
      <w:tr>
        <w:tc>
          <w:tcPr>
            <w:tcW w:type="dxa" w:w="2376"/>
            <w:vAlign w:val="center"/>
          </w:tcPr>
          <w:p>
            <w:pPr>
              <w:spacing w:after="20"/>
            </w:pPr>
            <w:r>
              <w:rPr>
                <w:sz w:val="15"/>
              </w:rPr>
              <w:t>Initial tokens</w:t>
            </w:r>
          </w:p>
        </w:tc>
        <w:tc>
          <w:tcPr>
            <w:tcW w:type="dxa" w:w="4176"/>
            <w:vAlign w:val="center"/>
          </w:tcPr>
          <w:p>
            <w:pPr>
              <w:spacing w:after="20"/>
            </w:pPr>
            <w:r>
              <w:rPr>
                <w:sz w:val="15"/>
              </w:rPr>
              <w:t>ETH, WETH, USDC; expand only after contract review</w:t>
            </w:r>
          </w:p>
        </w:tc>
        <w:tc>
          <w:tcPr>
            <w:tcW w:type="dxa" w:w="2808"/>
            <w:vAlign w:val="center"/>
          </w:tcPr>
          <w:p>
            <w:pPr>
              <w:spacing w:after="20"/>
            </w:pPr>
            <w:r>
              <w:rPr>
                <w:sz w:val="15"/>
              </w:rPr>
              <w:t>Product / security</w:t>
            </w:r>
          </w:p>
        </w:tc>
      </w:tr>
      <w:tr>
        <w:tc>
          <w:tcPr>
            <w:tcW w:type="dxa" w:w="2376"/>
            <w:vAlign w:val="center"/>
            <w:shd w:fill="F5F2EC"/>
          </w:tcPr>
          <w:p>
            <w:pPr>
              <w:spacing w:after="20"/>
            </w:pPr>
            <w:r>
              <w:rPr>
                <w:sz w:val="15"/>
              </w:rPr>
              <w:t>Integrator fee</w:t>
            </w:r>
          </w:p>
        </w:tc>
        <w:tc>
          <w:tcPr>
            <w:tcW w:type="dxa" w:w="4176"/>
            <w:vAlign w:val="center"/>
            <w:shd w:fill="F5F2EC"/>
          </w:tcPr>
          <w:p>
            <w:pPr>
              <w:spacing w:after="20"/>
            </w:pPr>
            <w:r>
              <w:rPr>
                <w:sz w:val="15"/>
              </w:rPr>
              <w:t>0.25% model, actual fee TBD</w:t>
            </w:r>
          </w:p>
        </w:tc>
        <w:tc>
          <w:tcPr>
            <w:tcW w:type="dxa" w:w="2808"/>
            <w:vAlign w:val="center"/>
            <w:shd w:fill="F5F2EC"/>
          </w:tcPr>
          <w:p>
            <w:pPr>
              <w:spacing w:after="20"/>
            </w:pPr>
            <w:r>
              <w:rPr>
                <w:sz w:val="15"/>
              </w:rPr>
              <w:t>Commercial / counsel</w:t>
            </w:r>
          </w:p>
        </w:tc>
      </w:tr>
      <w:tr>
        <w:tc>
          <w:tcPr>
            <w:tcW w:type="dxa" w:w="2376"/>
            <w:vAlign w:val="center"/>
          </w:tcPr>
          <w:p>
            <w:pPr>
              <w:spacing w:after="20"/>
            </w:pPr>
            <w:r>
              <w:rPr>
                <w:sz w:val="15"/>
              </w:rPr>
              <w:t>History provider</w:t>
            </w:r>
          </w:p>
        </w:tc>
        <w:tc>
          <w:tcPr>
            <w:tcW w:type="dxa" w:w="4176"/>
            <w:vAlign w:val="center"/>
          </w:tcPr>
          <w:p>
            <w:pPr>
              <w:spacing w:after="20"/>
            </w:pPr>
            <w:r>
              <w:rPr>
                <w:sz w:val="15"/>
              </w:rPr>
              <w:t>RPC receipts + indexed events / vendor TBD</w:t>
            </w:r>
          </w:p>
        </w:tc>
        <w:tc>
          <w:tcPr>
            <w:tcW w:type="dxa" w:w="2808"/>
            <w:vAlign w:val="center"/>
          </w:tcPr>
          <w:p>
            <w:pPr>
              <w:spacing w:after="20"/>
            </w:pPr>
            <w:r>
              <w:rPr>
                <w:sz w:val="15"/>
              </w:rPr>
              <w:t>Engineering</w:t>
            </w:r>
          </w:p>
        </w:tc>
      </w:tr>
      <w:tr>
        <w:tc>
          <w:tcPr>
            <w:tcW w:type="dxa" w:w="2376"/>
            <w:vAlign w:val="center"/>
            <w:shd w:fill="F5F2EC"/>
          </w:tcPr>
          <w:p>
            <w:pPr>
              <w:spacing w:after="20"/>
            </w:pPr>
            <w:r>
              <w:rPr>
                <w:sz w:val="15"/>
              </w:rPr>
              <w:t>Telemetry and retention</w:t>
            </w:r>
          </w:p>
        </w:tc>
        <w:tc>
          <w:tcPr>
            <w:tcW w:type="dxa" w:w="4176"/>
            <w:vAlign w:val="center"/>
            <w:shd w:fill="F5F2EC"/>
          </w:tcPr>
          <w:p>
            <w:pPr>
              <w:spacing w:after="20"/>
            </w:pPr>
            <w:r>
              <w:rPr>
                <w:sz w:val="15"/>
              </w:rPr>
              <w:t>Minimal wallet and request metadata</w:t>
            </w:r>
          </w:p>
        </w:tc>
        <w:tc>
          <w:tcPr>
            <w:tcW w:type="dxa" w:w="2808"/>
            <w:vAlign w:val="center"/>
            <w:shd w:fill="F5F2EC"/>
          </w:tcPr>
          <w:p>
            <w:pPr>
              <w:spacing w:after="20"/>
            </w:pPr>
            <w:r>
              <w:rPr>
                <w:sz w:val="15"/>
              </w:rPr>
              <w:t>Privacy / compliance</w:t>
            </w:r>
          </w:p>
        </w:tc>
      </w:tr>
      <w:tr>
        <w:tc>
          <w:tcPr>
            <w:tcW w:type="dxa" w:w="2376"/>
            <w:vAlign w:val="center"/>
          </w:tcPr>
          <w:p>
            <w:pPr>
              <w:spacing w:after="20"/>
            </w:pPr>
            <w:r>
              <w:rPr>
                <w:sz w:val="15"/>
              </w:rPr>
              <w:t>Launch readiness</w:t>
            </w:r>
          </w:p>
        </w:tc>
        <w:tc>
          <w:tcPr>
            <w:tcW w:type="dxa" w:w="4176"/>
            <w:vAlign w:val="center"/>
          </w:tcPr>
          <w:p>
            <w:pPr>
              <w:spacing w:after="20"/>
            </w:pPr>
            <w:r>
              <w:rPr>
                <w:sz w:val="15"/>
              </w:rPr>
              <w:t>No live deployment before G1–G4</w:t>
            </w:r>
          </w:p>
        </w:tc>
        <w:tc>
          <w:tcPr>
            <w:tcW w:type="dxa" w:w="2808"/>
            <w:vAlign w:val="center"/>
          </w:tcPr>
          <w:p>
            <w:pPr>
              <w:spacing w:after="20"/>
            </w:pPr>
            <w:r>
              <w:rPr>
                <w:sz w:val="15"/>
              </w:rPr>
              <w:t>Executive / counsel / security</w:t>
            </w:r>
          </w:p>
        </w:tc>
      </w:tr>
    </w:tbl>
    <w:p/>
    <w:p>
      <w:pPr>
        <w:pStyle w:val="Heading1"/>
      </w:pPr>
      <w:r>
        <w:t>13. Reference sources (verified 28 October 2026)</w:t>
      </w:r>
    </w:p>
    <w:p>
      <w:r>
        <w:t>0x Swap API quickstart — https://docs.0x.org/docs/introduction/quickstart/swap-tokens-with-0x-swap-api</w:t>
      </w:r>
    </w:p>
    <w:p>
      <w:r>
        <w:t>0x contracts and allowance safety — https://docs.0x.org/docs/core-concepts/contracts</w:t>
      </w:r>
    </w:p>
    <w:p>
      <w:r>
        <w:t>0x API overview — https://docs.0x.org/api-reference/api-overview</w:t>
      </w:r>
    </w:p>
    <w:p>
      <w:r>
        <w:t>0x supported chains — https://docs.0x.org/docs/introduction/supported-chains</w:t>
      </w:r>
    </w:p>
    <w:p>
      <w:r>
        <w:t>0x quote fee fields — https://help.0x.org/articles/5856315958-how-to-return-the-0x-swap-fee-to-your-end-users</w:t>
      </w:r>
    </w:p>
    <w:p>
      <w:r>
        <w:t>Base chain ID — https://docs.base.org/base-chain/api-reference/ethereum-json-rpc-api/eth_chainId</w:t>
      </w:r>
    </w:p>
    <w:p>
      <w:r>
        <w:t>Base production RPC guidance — https://basehub.org/api-reference/rpc-overview/</w:t>
      </w:r>
    </w:p>
    <w:p>
      <w:r>
        <w:t>California DFPI DFAL — https://dfpi.ca.gov/regulated-industries/digital-financial-assets/</w:t>
      </w:r>
    </w:p>
    <w:p>
      <w:r>
        <w:t>California DFPI DFAL FAQ — https://dfpi.ca.gov/regulated-industries/digital-financial-assets/digital-financial-assets-law-frequently-asked-questions/</w:t>
      </w:r>
    </w:p>
    <w:p>
      <w:r>
        <w:t>FinCEN 2019 CVC guidance — https://www.fincen.gov/system/files/2019-05/FinCEN%20CVC%20Guidance%20FINAL.pdf</w:t>
      </w:r>
    </w:p>
    <w:sectPr w:rsidR="00FC693F" w:rsidRPr="0006063C" w:rsidSect="00034616">
      <w:footerReference w:type="default" r:id="rId9"/>
      <w:pgSz w:w="12240" w:h="15840"/>
      <w:pgMar w:top="1094" w:right="1210" w:bottom="1037"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37D53"/>
        <w:sz w:val="14"/>
      </w:rPr>
      <w:t>ROMASWAP  •  INTERNAL TECHNICAL HANDOFF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2B3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B1E26"/>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684C1C"/>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2272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4182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RomaSwap — Technical Requirements and Roadmap</dc:title>
  <dc:subject>Noncustodial Base token swap aggregator MVP</dc:subject>
  <dc:creator>RomaSwap product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