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TRAINING SCIENCE ENGINE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Audit Scientifico Completo</w:t>
      </w:r>
    </w:p>
    <w:p>
      <w:pPr>
        <w:pBdr>
          <w:top w:val="single" w:color="1F4E79" w:sz="6" w:space="1"/>
        </w:pBdr>
        <w:spacing w:after="100"/>
        <w:jc w:val="center"/>
      </w:pPr>
    </w:p>
    <w:p>
      <w:pPr>
        <w:spacing w:after="20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FitManager AI Studio v1.0.6+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CONFIDENZIALE — Solo per uso interno e certificazione</w:t>
      </w:r>
    </w:p>
    <w:p>
      <w:pPr>
        <w:spacing w:before="120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4"/>
          <w:szCs w:val="24"/>
        </w:rPr>
        <w:t xml:space="preserve">19 Aprile 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4"/>
          <w:szCs w:val="24"/>
        </w:rPr>
        <w:t xml:space="preserve">FitManager AI Studio — Engineering Team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808080"/>
          <w:sz w:val="22"/>
          <w:szCs w:val="22"/>
        </w:rPr>
        <w:t xml:space="preserve">v1.0 — Prima revisione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Indice</w:t>
      </w:r>
    </w:p>
    <w:sdt>
      <w:sdtPr>
        <w:alias w:val="Indice dei contenut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Audit scientifico completo del Training Science Engine (~9000 LOC, 10 moduli core + 18 SMART runtime). Prima revisione sistematica delle basi scientifiche, delle costanti numeriche e della correttezza algoritmica.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Risultato complessivo: </w:t>
      </w:r>
      <w:r>
        <w:rPr>
          <w:rFonts w:ascii="Calibri" w:cs="Calibri" w:eastAsia="Calibri" w:hAnsi="Calibri"/>
          <w:sz w:val="22"/>
          <w:szCs w:val="22"/>
        </w:rPr>
        <w:t xml:space="preserve">4 bug CRITICI fixati, 6 problemi ALTI fixati. Il motore core (volume model, plan builder, periodization) risulta SOLIDO. I moduli di scoring (plan_analyzer, exercise_ranker) richiedono validazione empirica con professionista.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Verdict per modulo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Volume Model (MEV/MAV/MRV): SOLIDO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15 muscoli × 3 livelli con fonti Israetel RP 2020 + Schoenfeld 2017. Due anomalie corrette: AVAMBRACCI e GLUTEI con MEV=0 nonostante pattern primari (MEV→2).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Balance Ratios: SOLIDO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5 rapporti con fonte per ciascuno (NSCA, Sahrmann, Janda). Stringhe hardcoded per match muscolare corrette con enum values. Zero-volume warning aggiunto.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 Builder: SOLIDO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Algoritmo deterministico 4 fasi con feedback loop. Warning aggiunto per muscoli sotto MEV post-feedback.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 Analyzer: DA RIVEDERE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Score 0-100 con pesi arbitrari non giustificati. Funzionante ma da validare con professionista.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Ranker: DA RIVEDERE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Score pattern (50), muscle (25), safety penalty (-80). Valori ragionevoli ma senza fonte quantitativa.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Periodization: SOLIDO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Mesociclo a blocchi con fonti (Israetel, Bompa, Helms). Deload universale 0.50 nel range Helms (40-60%).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Condition Rules: SOLIDO con gaps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47 condizioni, 80 pattern rules. Keyword generiche corrette, spondilite anchilosante aggiunta.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Training Intelligence: SOLIDO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Analisi dose-response. Formula Epley corretta con fallback Brzycki per reps&gt;15.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Workout Diff: SOLIDO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Compliance piano vs eseguito. Bug 0 reps = 100% corretto.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Modulo: Volume Model (volume_model.py)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2.1 Architettura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Tabella MEV/MAV/MRV per 15 gruppi muscolari × 3 livelli di esperienza (principiante, intermedio, avanzato), calibrata per ipertrofia come obiettivo base. Scaling a 2 livelli moltiplicativi: fattore obiettivo (Forza=0.7, Resistenza=0.6) e fattore demografico (sesso × età).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2.2 Fonti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Fonte primaria: Israetel, Renaissance Periodization 2020. Cross-validato con Schoenfeld 2017 (dose-response) e Krieger 2010 (single vs multiple sets). Fattori demografici da Vingren 2010 (sesso), Häkkinen 2001 e Peterson 2005 (età).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2.3 Finding H1 (ALTO): AVAMBRACCI MEV=0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Bug: </w:t>
      </w:r>
      <w:r>
        <w:rPr>
          <w:rFonts w:ascii="Calibri" w:cs="Calibri" w:eastAsia="Calibri" w:hAnsi="Calibri"/>
          <w:sz w:val="22"/>
          <w:szCs w:val="22"/>
        </w:rPr>
        <w:t xml:space="preserve">Gli avambracci hanno contribuzione primaria 1.0 dal pattern carry, ma MEV=0 per tutti i livelli. Questo contraddice la regola interna: muscolo con pattern primario → MEV &gt; 0.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Impatto: </w:t>
      </w:r>
      <w:r>
        <w:rPr>
          <w:rFonts w:ascii="Calibri" w:cs="Calibri" w:eastAsia="Calibri" w:hAnsi="Calibri"/>
          <w:sz w:val="22"/>
          <w:szCs w:val="22"/>
        </w:rPr>
        <w:t xml:space="preserve">Gli avambracci vengono classificati come “sotto_mev” solo quando il volume è effettivamente 0, perdendo la capacità di segnalare sotto-stimolazione reale.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MEV avambracci = 2 per tutti i livelli (conservativo, come femorali principiante).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2.4 Finding H2 (ALTO): GLUTEI MEV=0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Bug: </w:t>
      </w:r>
      <w:r>
        <w:rPr>
          <w:rFonts w:ascii="Calibri" w:cs="Calibri" w:eastAsia="Calibri" w:hAnsi="Calibri"/>
          <w:sz w:val="22"/>
          <w:szCs w:val="22"/>
        </w:rPr>
        <w:t xml:space="preserve">I glutei hanno hinge(1.0) + hip_thrust(1.0) + squat(0.5) come contributi, ma MEV=0. Stessa contraddizione di H1.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MEV glutei = 2 per principiante e intermedio (conservativo dato il forte volume indiretto da squat/hinge).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Modulo: Balance Ratios (balance_ratios.py)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3.1 Rapporti biomeccanici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 rapporti definiti con evidenza e fonte per ciascuno: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Push:Pull — Evidenza FORTE (NSCA 2016, Sahrmann 2002, Janda 1983). Target 1.0, tolleranza 0.15.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Push Orizz:Push Vert — Evidenza MODERATA (Sahrmann, Boettcher 2008). Target 1.5, tolleranza 1.0.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Pull Orizz:Pull Vert — Evidenza MODERATA (Sahrmann 2002). Target 1.2, tolleranza 0.80.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Quad:Ham — Evidenza MODERATA-FORTE (derivazione algebrica EMG). Target 0.80, tolleranza 0.30.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Anteriore:Posteriore — Evidenza FORTE (Sahrmann 2002, Janda 1983). Target 0.80, tolleranza 0.25.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3.2 Finding C1 (CRITICO → reclassificato MEDIO)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Bug originale: </w:t>
      </w:r>
      <w:r>
        <w:rPr>
          <w:rFonts w:ascii="Calibri" w:cs="Calibri" w:eastAsia="Calibri" w:hAnsi="Calibri"/>
          <w:sz w:val="22"/>
          <w:szCs w:val="22"/>
        </w:rPr>
        <w:t xml:space="preserve">Le definizioni dei rapporti muscolari (Quad:Ham, Anteriore:Posteriore) usavano stringhe hardcoded ("petto", "quadricipiti"). Se l’enum GruppoMuscolare cambiasse i .value, il calcolo produrrebbe risultati silenziosi errati.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Analisi: </w:t>
      </w:r>
      <w:r>
        <w:rPr>
          <w:rFonts w:ascii="Calibri" w:cs="Calibri" w:eastAsia="Calibri" w:hAnsi="Calibri"/>
          <w:sz w:val="22"/>
          <w:szCs w:val="22"/>
        </w:rPr>
        <w:t xml:space="preserve">Verificato che oggi i values dell’enum coincidono con le stringhe. Non è un bug attivo, ma è fragile e viola il principio DRY.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Sostituite stringhe con M.X.value per prevenire drift futuro.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3.3 Finding H3 (ALTO): Zero-volume = falso bilanciato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Bug: </w:t>
      </w:r>
      <w:r>
        <w:rPr>
          <w:rFonts w:ascii="Calibri" w:cs="Calibri" w:eastAsia="Calibri" w:hAnsi="Calibri"/>
          <w:sz w:val="22"/>
          <w:szCs w:val="22"/>
        </w:rPr>
        <w:t xml:space="preserve">Quando numeratore e denominatore di un rapporto sono entrambi 0, il codice restituiva ratio.target (“bilanciato”). In realtà indica assenza completa di volume su entrambe le catene.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Aggiunto warning esplicito “VOLUME ZERO” nella lista squilibri.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Modulo: Plan Builder (plan_builder.py)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4.1 Architettura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Algoritmo deterministico a 4 fasi: (1) struttura compound base, (2) boost compound per deficit, (3) compensazione con isolamento, (4) feedback loop con verifica volume. Ogni decisione è tracciabile e fondata sui parametri di carico dell’obiettivo.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4.2 Finding H5 (ALTO): Feedback loop silenzioso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Bug: </w:t>
      </w:r>
      <w:r>
        <w:rPr>
          <w:rFonts w:ascii="Calibri" w:cs="Calibri" w:eastAsia="Calibri" w:hAnsi="Calibri"/>
          <w:sz w:val="22"/>
          <w:szCs w:val="22"/>
        </w:rPr>
        <w:t xml:space="preserve">Il feedback loop (Fase 4) esegue max 1 iterazione extra. Se dopo l’iterazione ci sono ancora muscoli sotto MEV, il piano viene restituito senza alcun warning. Il trainer non sa che il piano è sub-ottimale.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Aggiunto warning esplicito in note_generazione per ogni muscolo ancora sotto MEV dopo la Fase 4, con indicazione del deficit residuo.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4.3 Costanti documentate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Ogni costante nel codice è stata commentata con la fonte scientifica o la nota “design choice, da validare con professionista”.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Modulo: Plan Analyzer (plan_analyzer.py)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5.1 Score composito 0-100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Volume coverage (40 punti), Balance (25 punti), Frequency (20 punti), Recovery (15 punti).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5.2 Costanti non giustificate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Coverage sopra_mav weight 0.8 — design choice: volume alto ma recuperabile merita meno di ottimale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Coverage mev_mav weight 0.5 — design choice: stimolo presente ma sub-ottimale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Frequency penalty -4pt per warning — arbitrario, da validare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Recovery penalty -5pt per warning — arbitrario, da validare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Tutti i valori producono risultati ragionevoli ma richiedono validazione empirica con professionista del settore.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Modulo: Exercise Ranker (exercise_ranker.py)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6.1 Scoring multi-dimensionale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Pattern match (50pt), Muscle target (25pt), Safety adjustment (-80 per avoid), Level-difficulty alignment (-24 per beginner×advanced). Ordine complessivo: safety bucket → score totale → randomizzazione deterministica.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6.2 Costanti non giustificate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 pesi numerici sono design choices ragionevoli che garantiscono: (1) pattern corretto come criterio dominante, (2) sicurezza del cliente come hard constraint, (3) progressione appropriata per livello. Tuttavia non hanno fonte quantitativa e richiedono validazione empirica.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Modulo: Periodization (periodization.py)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7.1 Mesociclo a blocchi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Interpolazione lineare base→picco + deload. Durata differenziata: principiante 4 settimane, intermedio 5, avanzato 6.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7.2 Fonti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Israetel RP 2020: volume progression 5-20% per settimana. Bompa 2019: supercompensation curve. Helms 2019: deload at 40-60% of peak volume.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7.3 Costanti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Deload universale 0.50: </w:t>
      </w:r>
      <w:r>
        <w:rPr>
          <w:rFonts w:ascii="Calibri" w:cs="Calibri" w:eastAsia="Calibri" w:hAnsi="Calibri"/>
          <w:sz w:val="22"/>
          <w:szCs w:val="22"/>
        </w:rPr>
        <w:t xml:space="preserve">Helms 2019 raccomanda 40-60% del volume di picco. 0.50 è nel range. Da discutere se differenziare per livello (principiante potrebbe usare 0.60, avanzato 0.40).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Base principiante 0.85: </w:t>
      </w:r>
      <w:r>
        <w:rPr>
          <w:rFonts w:ascii="Calibri" w:cs="Calibri" w:eastAsia="Calibri" w:hAnsi="Calibri"/>
          <w:sz w:val="22"/>
          <w:szCs w:val="22"/>
        </w:rPr>
        <w:t xml:space="preserve">Intenzionalmente sotto MAV per introduzione graduale. Il volume sale a 1.10 (picco) nel corso del mesociclo.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Modulo: Condition Rules (condition_rules.py)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8.1 Struttura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47 condizioni mediche, 80 pattern rules con matching keyword case-insensitive e accent-insensitive. Supporta accenti Unicode e apostrofi italiani.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8.2 Finding C4 (CRITICO): Keyword "pressione" troppo generico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Bug: </w:t>
      </w:r>
      <w:r>
        <w:rPr>
          <w:rFonts w:ascii="Calibri" w:cs="Calibri" w:eastAsia="Calibri" w:hAnsi="Calibri"/>
          <w:sz w:val="22"/>
          <w:szCs w:val="22"/>
        </w:rPr>
        <w:t xml:space="preserve">La keyword "pressione" nella lista per ipertensione (condizione 20) matchava qualsiasi menzione di pressione, inclusa "pressione al petto" (sintomo di angina/cardiopatia) e "sensazione di pressione" (ansia).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Sostituita con compound keywords specifiche: ["pressione alta", "pressione sanguigna", "ipertensione arteriosa"].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8.3 Finding H4 (ALTO): Keyword "schiena" troppo generico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Bug: </w:t>
      </w:r>
      <w:r>
        <w:rPr>
          <w:rFonts w:ascii="Calibri" w:cs="Calibri" w:eastAsia="Calibri" w:hAnsi="Calibri"/>
          <w:sz w:val="22"/>
          <w:szCs w:val="22"/>
        </w:rPr>
        <w:t xml:space="preserve">"schiena" da solo nella lista per lombalgia (condizione 39) matchava qualsiasi menzione, incluso contesto non rilevante.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Sostituita con compound keywords: ["mal di schiena", "dolore alla schiena", "problemi di schiena", "schiena bloccata"].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8.4 Finding H6 (ALTO): Spondilite anchilosante mancante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Bug: </w:t>
      </w:r>
      <w:r>
        <w:rPr>
          <w:rFonts w:ascii="Calibri" w:cs="Calibri" w:eastAsia="Calibri" w:hAnsi="Calibri"/>
          <w:sz w:val="22"/>
          <w:szCs w:val="22"/>
        </w:rPr>
        <w:t xml:space="preserve">Condizione comune in maschi 20-40 anni, rilevante per esercizi di estensione spinale. Completamente assente dalle 47 condizioni.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Aggiunta regola keyword per condizione 36 (colonna generica). Keywords: ["spondilite", "anchilosante", "morbo di bechterew", "bechterew"].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8.5 Gap noti (futuro)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Condizioni mancanti: protesi ginocchio, labral tears, PCOS, lupus, tendiniti croniche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Abbreviazioni mancanti: FANS, ACE inibitori, LCP, Hashimoto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Varianti dialettali: nuca, sciatalgia, spalla bloccata, torcicollo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Negazione non supportata: "no mal di schiena" matcha comunque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Modulo: Training Intelligence (training_intelligence.py)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9.1 Analisi dose-response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Analisi scientifica post-esecuzione con volume ipertrofico muscolo-per-muscolo, balance ratios su dati reali, zone di intensità, recovery warnings e alert predittivi.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9.2 Finding C2 (CRITICO): Epley 1RM invalido per reps &gt; 15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Bug: </w:t>
      </w:r>
      <w:r>
        <w:rPr>
          <w:rFonts w:ascii="Calibri" w:cs="Calibri" w:eastAsia="Calibri" w:hAnsi="Calibri"/>
          <w:sz w:val="22"/>
          <w:szCs w:val="22"/>
        </w:rPr>
        <w:t xml:space="preserve">La formula Epley e1rm = kg × (1 + reps/30) è validata solo per 1-15 ripetizioni. Per reps &gt; 15 (endurance) sovrastima il 1RM. Esempio: 50 reps × 20kg = 1RM stimato 53kg, ma reale ~25-30kg.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Impatto: </w:t>
      </w:r>
      <w:r>
        <w:rPr>
          <w:rFonts w:ascii="Calibri" w:cs="Calibri" w:eastAsia="Calibri" w:hAnsi="Calibri"/>
          <w:sz w:val="22"/>
          <w:szCs w:val="22"/>
        </w:rPr>
        <w:t xml:space="preserve">Zone di intensità sbagliate per clienti con allenamento endurance. La distribuzione percentuale (massimale/sub_massimale/ipertrofia/resistenza) risulta distorta.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Per reps 1-15: Epley (invariato). Per reps 16-36: Brzycki e1rm = kg × 36/(37 - reps). Per reps ≥ 37: skip (formula diverge, il set non è significativo per stima 1RM).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9.3 Gap noti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Trend analysis richiede 4+ settimane (3 settimane = stabile hardcoded)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Recovery warnings solo per sessioni consecutive (gap ≤ 1 giorno), non 48h reali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NULL carico_kg → 0 tonnage (silenzioso)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10. Modulo: Workout Diff (workout_diff.py)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10.1 Compliance piano vs eseguito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 ogni sessione completata, confronto esercizio-per-esercizio: serie, ripetizioni, carico. Formula pesata: Serie 40%, Reps 35%, Carico 25%.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10.2 Finding C3 (CRITICO): 0 reps = 100% compliance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Bug: </w:t>
      </w:r>
      <w:r>
        <w:rPr>
          <w:rFonts w:ascii="Calibri" w:cs="Calibri" w:eastAsia="Calibri" w:hAnsi="Calibri"/>
          <w:sz w:val="22"/>
          <w:szCs w:val="22"/>
        </w:rPr>
        <w:t xml:space="preserve">Il codice usava `reps_fatto_avg else 1.0`. In Python, 0.0 è falsy. Se il cliente logga 0 reps effettive, il ratio diventava 1.0 (100% compliance invece di 0%).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Cambiato in check esplicito: `if reps_fatto_avg is not None and reps_fatto_avg &gt; 0`.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11. Matrice Severità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Tutti i finding identificati con severità, impatto, fix applicato e stato.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200"/>
        <w:gridCol w:w="2200"/>
        <w:gridCol w:w="1800"/>
        <w:gridCol w:w="1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balance_ratios.py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CRITICO→MEDIO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Fragile ma non broken oggi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 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training_intelligence.py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Zone intensità sbagliate per endurance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Brzycki fallback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workout_diff.py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reps = 100% 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Explicit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condition_rules.py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Falso match condizione medica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Compound keywords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volume_model.py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Avambracci sotto-stimolati senza 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MEV→2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volume_model.py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Glutei sotto-stimolati senza 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MEV→2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balance_ratios.py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 volume = falso bilanciato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Warning ZERO VOLUME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condition_rules.py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Falso match schiena generico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Compound keywords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plan_builder.py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Piano sub-ottimale silenzioso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Warning note_generazione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condition_rules.py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Spondilite mancante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Keywords aggiunte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FIXATO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12. Roadmap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12.1 Fix immediati (completati)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C1-C4 (4 bug critici) + H1-H6 (6 problemi alti) — tutti fixati e testati.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12.2 Da validare con professionista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Costanti plan_analyzer (pesi score composito)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Costanti exercise_ranker (pesi scoring selezione)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Deload universale vs differenziato per livello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Tolleranze balance ratios (Pull_H:Pull_V evidenza debole)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12.3 Da implementare (futuro)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Muscoli mancanti: rotator cuff, serratus anterior, hip flexors, erector spinae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Varianti esercizio distinte per EMG (back squat vs front squat vs hack squat)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Safety engine: protesi ginocchio, labral tears, PCOS, abbreviazioni farmacologiche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Training intelligence: trend analysis &lt; 4 settimane, recovery 48h reali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Negazione keywords anamnesi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Appendice A: Fonti Scientifiche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Elenco completo delle fonti utilizzate dal Training Science Engine, con indicazione del contributo specifico al sistema.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Israetel, Hoffmann, Smith — "Scientific Principles of Hypertrophy Training" (Renaissance Periodization, 2020) — Volume model MEV/MAV/MRV, periodization, volume progression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Schoenfeld — "Dose-response relationship between weekly RT volume and increases in muscle mass" (J Sports Sci 2017) — Volume-hypertrophy relationship, dose-response curve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Schoenfeld — "Resistance Training Recommendations to Maximize Muscle Hypertrophy" (Strength Cond J 2021) — Updated recommendations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Krieger — "Single vs multiple sets of resistance exercise for muscle hypertrophy" (J Strength Cond Res 2010) — Minimum effective volume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NSCA (Haff &amp; Triplett) — "Essentials of Strength Training and Conditioning" 4th ed (2016) — Cap 17, 21, 22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Sahrmann — "Movement System Impairment Syndromes" (Mosby, 2002) — Upper/lower crossed syndrome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Janda — "Muscles: Testing and Function with Posture and Pain" (1983) — Classificazione tonico/fasico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Alentorn-Geli — "Prevention of non-contact ACL injuries in soccer players" (KSSTA 2009) — Rapporto H:Q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Helms, Morgan, Valdez — "The Muscle and Strength Pyramid: Training" (2019) — Deload, RPE/RIR, mesociclo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Bompa &amp; Buzzichelli — "Periodization: Theory and Methodology of Training" 6th ed (2019) — Supercompensazione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Vingren et al — "Testosterone physiology in resistance exercise" (Sports Med 2010) — Differenze sesso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Häkkinen et al — "Selective muscle hypertrophy..." (J Appl Physiol 2001) — Riduzione recupero per età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Peterson, Rhea, Alvar — "Dose-response for muscular strength development" (JSCR 2005) — Età e volume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Contreras — "Advanced Techniques in Glutei Maximi Strengthening" (2010) — Dati EMG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Boettcher et al — "The role of shoulder muscles in impingement" (J Shoulder Elbow Surg 2008)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Zourdos et al — "Novel RT-specific RPE scale" (JSCR 2016) — Calibrazione RPE/RIR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Epley — "Poundage Chart" (Boyd Epley Workout, 1985) — Formula 1RM (valida 1-15 reps)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Brzycki — "Strength testing: predicting a one-rep max from reps to fatigue" (JOPERD 1993) — Formula 1RM alternativa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Appendice B: Tabella Costanti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Tutte le costanti numeriche del motore con fonte e stato di giustificazione.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2200"/>
        <w:gridCol w:w="180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Costante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File:Line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Pattern match score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exercise_ranker.py:98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choice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 validare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Muscle target score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exercise_ranker.py:111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choice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 validare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Safety avoid penalty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exercise_ranker.py:29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choice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 validare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Beginner×advanced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exercise_ranker.py:34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choice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 validare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Coverage sopra_mav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plan_analyzer.py:800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choice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 validare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Coverage mev_mav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plan_analyzer.py:807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choice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 validare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Frequency penalty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-4pt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plan_analyzer.py:824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choice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 validare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Recovery penalty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-5pt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plan_analyzer.py:828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choice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 validare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 serie per slot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plan_builder.py:155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NSCA 2016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Giustificato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 compound boost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plan_builder.py:156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choice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 validare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Deload universale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periodization.py:107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Helms 2019 (40-60%)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Giustificato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principiante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periodization.py:105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choice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Giustificato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Stimulus threshold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plan_builder.py:170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choice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 validare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MEV Petto princ.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volume_model.py:123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Israetel RP 2020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Giustificato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MAV Dorsali interm.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volume_model.py:133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Israetel RP 2020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Giustificato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MRV Quad avanzato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volume_model.py:174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Israetel RP 2020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Giustificato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1F4E79" w:sz="4" w:space="8"/>
        </w:pBdr>
        <w:spacing w:before="600"/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Fine documento — CONFIDENZIALE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CONFIDENZIALE — Pagina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Calibri" w:cs="Calibri" w:eastAsia="Calibri" w:hAnsi="Calibri"/>
        <w:i/>
        <w:iCs/>
        <w:color w:val="808080"/>
        <w:sz w:val="18"/>
        <w:szCs w:val="18"/>
      </w:rPr>
      <w:t xml:space="preserve">TRAINING SCIENCE ENGINE — Audit Scientifico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2026-04-18T23:49:17.530Z</dcterms:created>
  <dcterms:modified xsi:type="dcterms:W3CDTF">2026-04-18T23:49:17.531Z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