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rPr>
          <w:b/>
          <w:sz w:val="44"/>
          <w:szCs w:val="44"/>
          <w:color w:val="2A2440"/>
        </w:rPr>
        <w:t xml:space="preserve">What Real Decks Cost the Renderer</w:t>
      </w:r>
    </w:p>
    <w:p>
      <w:pPr/>
      <w:r>
        <w:rPr>
          <w:b/>
        </w:rPr>
        <w:t xml:space="preserve">Date:</w:t>
      </w:r>
      <w:r>
        <w:t xml:space="preserve"> 20 August 2026 </w:t>
      </w:r>
      <w:r>
        <w:rPr>
          <w:b/>
        </w:rPr>
        <w:t xml:space="preserve">Method:</w:t>
      </w:r>
      <w:r>
        <w:t xml:space="preserve"> </w:t>
      </w:r>
      <w:r>
        <w:rPr>
          <w:rFonts w:ascii="Consolas" w:hAnsi="Consolas"/>
          <w:sz w:val="18"/>
        </w:rPr>
        <w:t xml:space="preserve">node scripts/deck-report.js &lt;deck.pptx&gt;</w:t>
      </w:r>
      <w:r>
        <w:t xml:space="preserve"> </w:t>
      </w:r>
      <w:r>
        <w:rPr>
          <w:b/>
        </w:rPr>
        <w:t xml:space="preserve">Sample:</w:t>
      </w:r>
      <w:r>
        <w:t xml:space="preserve"> 76 corporate decks, of which 32 parse as valid </w:t>
      </w:r>
      <w:r>
        <w:rPr>
          <w:rFonts w:ascii="Consolas" w:hAnsi="Consolas"/>
          <w:sz w:val="18"/>
        </w:rPr>
        <w:t xml:space="preserve">.pptx</w:t>
      </w:r>
      <w:r>
        <w:t xml:space="preserve"> — 1,126 slides. They are client documents and are not in this repository; only these counts were kept.</w:t>
      </w:r>
    </w:p>
    <w:p>
      <w:r>
        <w:br w:type="page"/>
      </w:r>
    </w:p>
    <w:p>
      <w:pPr>
        <w:pStyle w:val="Heading2"/>
      </w:pPr>
      <w:r>
        <w:rPr>
          <w:b/>
          <w:sz w:val="32"/>
          <w:szCs w:val="32"/>
          <w:color w:val="2A2440"/>
        </w:rPr>
        <w:t xml:space="preserve">1. What changed</w:t>
      </w:r>
    </w:p>
    <w:p>
      <w:pPr/>
      <w:r>
        <w:t xml:space="preserve">The renderer went from failing almost every slide in the sample to drawing 98% of them. The work that got it there was not the work anyone would have guessed, which is the main lesson of this document.</w:t>
      </w:r>
    </w:p>
    <w:tbl>
      <w:tblPr>
        <w:tblStyle w:val="TableGridLight"/>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4680"/>
        <w:gridCol w:w="4680"/>
      </w:tblGrid>
      <w:tr>
        <w:trPr>
          <w:tblHeader/>
        </w:trPr>
        <w:tc>
          <w:tcPr>
            <w:tcW w:w="4680" w:type="dxa"/>
            <w:shd w:val="clear" w:fill="F2F2F2"/>
          </w:tcPr>
          <w:p>
            <w:pPr>
              <w:pStyle w:val="TableText"/>
            </w:pPr>
            <w:r>
              <w:rPr>
                <w:b/>
              </w:rPr>
              <w:t xml:space="preserve">Stage</w:t>
            </w:r>
          </w:p>
        </w:tc>
        <w:tc>
          <w:tcPr>
            <w:tcW w:w="4680" w:type="dxa"/>
            <w:shd w:val="clear" w:fill="F2F2F2"/>
          </w:tcPr>
          <w:p>
            <w:pPr>
              <w:pStyle w:val="TableText"/>
            </w:pPr>
            <w:r>
              <w:rPr>
                <w:b/>
              </w:rPr>
              <w:t xml:space="preserve">Slides rendering clean</w:t>
            </w:r>
          </w:p>
        </w:tc>
      </w:tr>
      <w:tr>
        <w:tc>
          <w:tcPr>
            <w:tcW w:w="4680" w:type="dxa"/>
          </w:tcPr>
          <w:p>
            <w:pPr>
              <w:pStyle w:val="TableText"/>
            </w:pPr>
            <w:r>
              <w:t xml:space="preserve">Before any of this</w:t>
            </w:r>
          </w:p>
        </w:tc>
        <w:tc>
          <w:tcPr>
            <w:tcW w:w="4680" w:type="dxa"/>
          </w:tcPr>
          <w:p>
            <w:pPr>
              <w:pStyle w:val="TableText"/>
            </w:pPr>
            <w:r>
              <w:t xml:space="preserve">~0% on most decks</w:t>
            </w:r>
          </w:p>
        </w:tc>
      </w:tr>
      <w:tr>
        <w:tc>
          <w:tcPr>
            <w:tcW w:w="4680" w:type="dxa"/>
          </w:tcPr>
          <w:p>
            <w:pPr>
              <w:pStyle w:val="TableText"/>
            </w:pPr>
            <w:r>
              <w:t xml:space="preserve">Ignoring invisible embedded objects</w:t>
            </w:r>
          </w:p>
        </w:tc>
        <w:tc>
          <w:tcPr>
            <w:tcW w:w="4680" w:type="dxa"/>
          </w:tcPr>
          <w:p>
            <w:pPr>
              <w:pStyle w:val="TableText"/>
            </w:pPr>
            <w:r>
              <w:t xml:space="preserve">94%</w:t>
            </w:r>
          </w:p>
        </w:tc>
      </w:tr>
      <w:tr>
        <w:tc>
          <w:tcPr>
            <w:tcW w:w="4680" w:type="dxa"/>
          </w:tcPr>
          <w:p>
            <w:pPr>
              <w:pStyle w:val="TableText"/>
            </w:pPr>
            <w:r>
              <w:t xml:space="preserve">Adding the EMF renderer</w:t>
            </w:r>
          </w:p>
        </w:tc>
        <w:tc>
          <w:tcPr>
            <w:tcW w:w="4680" w:type="dxa"/>
          </w:tcPr>
          <w:p>
            <w:pPr>
              <w:pStyle w:val="TableText"/>
            </w:pPr>
            <w:r>
              <w:t xml:space="preserve">96%</w:t>
            </w:r>
          </w:p>
        </w:tc>
      </w:tr>
      <w:tr>
        <w:tc>
          <w:tcPr>
            <w:tcW w:w="4680" w:type="dxa"/>
          </w:tcPr>
          <w:p>
            <w:pPr>
              <w:pStyle w:val="TableText"/>
            </w:pPr>
            <w:r>
              <w:t xml:space="preserve">Fixing SmartArt resolution</w:t>
            </w:r>
          </w:p>
        </w:tc>
        <w:tc>
          <w:tcPr>
            <w:tcW w:w="4680" w:type="dxa"/>
          </w:tcPr>
          <w:p>
            <w:pPr>
              <w:pStyle w:val="TableText"/>
            </w:pPr>
            <w:r>
              <w:rPr>
                <w:b/>
              </w:rPr>
              <w:t xml:space="preserve">98%</w:t>
            </w:r>
          </w:p>
        </w:tc>
      </w:tr>
    </w:tbl>
    <w:p>
      <w:pPr>
        <w:pStyle w:val="Spacer"/>
      </w:pPr>
      <w:r>
        <w:t xml:space="preserve"/>
      </w:r>
    </w:p>
    <w:p>
      <w:pPr>
        <w:pStyle w:val="Heading2"/>
      </w:pPr>
      <w:r>
        <w:rPr>
          <w:b/>
          <w:sz w:val="32"/>
          <w:szCs w:val="32"/>
          <w:color w:val="2A2440"/>
        </w:rPr>
        <w:t xml:space="preserve">2. The finding that mattered most</w:t>
      </w:r>
    </w:p>
    <w:p>
      <w:pPr/>
      <w:r>
        <w:rPr>
          <w:b/>
        </w:rPr>
        <w:t xml:space="preserve">92% of every embedded object in the corpus is an invisible marker.</w:t>
      </w:r>
    </w:p>
    <w:p>
      <w:pPr/>
      <w:r>
        <w:t xml:space="preserve">Add-ins — think-cell in this sample, but the pattern is general — park their bookkeeping on a slide as an embedded object roughly a fifth of an inch square. Nobody looking at the deck can see it. Of 1,871 OLE objects measured, 1,708 were named "think-cell Slide" and 1,674 were 0.2 × 0.2 inches.</w:t>
      </w:r>
    </w:p>
    <w:p>
      <w:pPr/>
      <w:r>
        <w:t xml:space="preserve">The renderer drew a labelled placeholder for each one. One such object on a </w:t>
      </w:r>
      <w:r>
        <w:rPr>
          <w:b/>
        </w:rPr>
        <w:t xml:space="preserve">slide master</w:t>
      </w:r>
      <w:r>
        <w:t xml:space="preserve"> is inherited by every slide in the deck, so a single invisible marker failed all sixty-six slides of one file at once.</w:t>
      </w:r>
    </w:p>
    <w:p>
      <w:pPr/>
      <w:r>
        <w:t xml:space="preserve">Ignoring anything under half an inch took the corpus from roughly zero to 94%. It took about an hour. Everything else in this document is worth four points between them.</w:t>
      </w:r>
    </w:p>
    <w:p>
      <w:pPr/>
      <w:r>
        <w:rPr>
          <w:b/>
        </w:rPr>
        <w:t xml:space="preserve">The lesson is about sequencing, not about think-cell.</w:t>
      </w:r>
      <w:r>
        <w:t xml:space="preserve"> The first measurement of a single deck said embedded objects appeared on 66 of 66 slides, which read as an enormous problem. It was one object counted 66 times. Occurrences measure damage; they do not measure work.</w:t>
      </w:r>
    </w:p>
    <w:p>
      <w:pPr>
        <w:pStyle w:val="Heading2"/>
      </w:pPr>
      <w:r>
        <w:rPr>
          <w:b/>
          <w:sz w:val="32"/>
          <w:szCs w:val="32"/>
          <w:color w:val="2A2440"/>
        </w:rPr>
        <w:t xml:space="preserve">3. EMF</w:t>
      </w:r>
    </w:p>
    <w:p>
      <w:pPr/>
      <w:r>
        <w:rPr>
          <w:rFonts w:ascii="Consolas" w:hAnsi="Consolas"/>
          <w:sz w:val="18"/>
        </w:rPr>
        <w:t xml:space="preserve">public/emf.js</w:t>
      </w:r>
      <w:r>
        <w:t xml:space="preserve"> plays Enhanced Metafile records back as SVG, written from the published MS-EMF specification.</w:t>
      </w:r>
    </w:p>
    <w:p>
      <w:pPr/>
      <w:r>
        <w:t xml:space="preserve">Scope was measured rather than guessed. A histogram of record types across 51 real metafiles from the corpus showed about thirty types in use, and </w:t>
      </w:r>
      <w:r>
        <w:rPr>
          <w:b/>
        </w:rPr>
        <w:t xml:space="preserve">no bitmap records at all</w:t>
      </w:r>
      <w:r>
        <w:t xml:space="preserve">, which removed a whole subsystem before it was written. What is implemented: the device context — pens, brushes, fonts, the transform stack, save and restore — path construction, polygons and béziers, ellipses and rectangles, text with alignment and rotation, and clipping. Unknown records are skipped by their own length, so an unfamiliar record costs a detail rather than the render.</w:t>
      </w:r>
    </w:p>
    <w:p>
      <w:pPr/>
      <w:r>
        <w:rPr>
          <w:b/>
        </w:rPr>
        <w:t xml:space="preserve">Result: EMF failures fell from 30 slides to 1.</w:t>
      </w:r>
      <w:r>
        <w:t xml:space="preserve"> Of 51 sample metafiles, 42 render with content and none throw.</w:t>
      </w:r>
    </w:p>
    <w:p>
      <w:pPr/>
      <w:r>
        <w:t xml:space="preserve">One bug worth recording because it was invisible: the four </w:t>
      </w:r>
      <w:r>
        <w:rPr>
          <w:rFonts w:ascii="Consolas" w:hAnsi="Consolas"/>
          <w:sz w:val="18"/>
        </w:rPr>
        <w:t xml:space="preserve">MODIFYWORLDTRANSFORM</w:t>
      </w:r>
      <w:r>
        <w:t xml:space="preserve"> mode constants were all mismapped. That record appears 2,612 times in the corpus, and getting it wrong puts shapes in the wrong place without any error. There is now a test that pins the numbering.</w:t>
      </w:r>
    </w:p>
    <w:p>
      <w:pPr>
        <w:pStyle w:val="Heading2"/>
      </w:pPr>
      <w:r>
        <w:rPr>
          <w:b/>
          <w:sz w:val="32"/>
          <w:szCs w:val="32"/>
          <w:color w:val="2A2440"/>
        </w:rPr>
        <w:t xml:space="preserve">4. SmartArt</w:t>
      </w:r>
    </w:p>
    <w:p>
      <w:pPr/>
      <w:r>
        <w:t xml:space="preserve">A diagram's own parts describe it as data plus layout rules. Drawing it from those would mean implementing the layout engine, and there is no need: PowerPoint also writes the finished result as ordinary shapes in a </w:t>
      </w:r>
      <w:r>
        <w:rPr>
          <w:rFonts w:ascii="Consolas" w:hAnsi="Consolas"/>
          <w:sz w:val="18"/>
        </w:rPr>
        <w:t xml:space="preserve">diagramDrawing</w:t>
      </w:r>
      <w:r>
        <w:t xml:space="preserve"> part, so readers that cannot lay it out can still draw it.</w:t>
      </w:r>
    </w:p>
    <w:p>
      <w:pPr/>
      <w:r>
        <w:t xml:space="preserve">The catch is </w:t>
      </w:r>
      <w:r>
        <w:rPr>
          <w:b/>
        </w:rPr>
        <w:t xml:space="preserve">where that part is referenced from</w:t>
      </w:r>
      <w:r>
        <w:t xml:space="preserve">, and the first implementation guessed wrong. Every SmartArt diagram in the corpus — all 39 — failed because the relationship was looked for on the diagram's data part. In practice PowerPoint puts it on the </w:t>
      </w:r>
      <w:r>
        <w:rPr>
          <w:b/>
        </w:rPr>
        <w:t xml:space="preserve">slide</w:t>
      </w:r>
      <w:r>
        <w:t xml:space="preserve">. The resolver now tries, in order of how firmly each says which drawing belongs to which diagram:</w:t>
      </w:r>
    </w:p>
    <w:p>
      <w:pPr>
        <w:pStyle w:val="ListNumber"/>
        <w:numPr>
          <w:ilvl w:val="0"/>
          <w:numId w:val="2"/>
        </w:numPr>
      </w:pPr>
      <w:r>
        <w:t xml:space="preserve">a </w:t>
      </w:r>
      <w:r>
        <w:rPr>
          <w:rFonts w:ascii="Consolas" w:hAnsi="Consolas"/>
          <w:sz w:val="18"/>
        </w:rPr>
        <w:t xml:space="preserve">dataModelExt</w:t>
      </w:r>
      <w:r>
        <w:t xml:space="preserve"> inside the </w:t>
      </w:r>
      <w:r>
        <w:rPr>
          <w:rFonts w:ascii="Consolas" w:hAnsi="Consolas"/>
          <w:sz w:val="18"/>
        </w:rPr>
        <w:t xml:space="preserve">relIds</w:t>
      </w:r>
      <w:r>
        <w:t xml:space="preserve"> element, naming a relationship;</w:t>
      </w:r>
    </w:p>
    <w:p>
      <w:pPr>
        <w:pStyle w:val="ListNumber"/>
        <w:numPr>
          <w:ilvl w:val="0"/>
          <w:numId w:val="2"/>
        </w:numPr>
      </w:pPr>
      <w:r>
        <w:t xml:space="preserve">a </w:t>
      </w:r>
      <w:r>
        <w:rPr>
          <w:rFonts w:ascii="Consolas" w:hAnsi="Consolas"/>
          <w:sz w:val="18"/>
        </w:rPr>
        <w:t xml:space="preserve">diagramDrawing</w:t>
      </w:r>
      <w:r>
        <w:t xml:space="preserve"> relationship on the slide, paired to the data part by number when a slide carries more than one diagram;</w:t>
      </w:r>
    </w:p>
    <w:p>
      <w:pPr>
        <w:pStyle w:val="ListNumber"/>
        <w:numPr>
          <w:ilvl w:val="0"/>
          <w:numId w:val="2"/>
        </w:numPr>
      </w:pPr>
      <w:r>
        <w:t xml:space="preserve">a relationship on the data part itself.</w:t>
      </w:r>
    </w:p>
    <w:p>
      <w:pPr/>
      <w:r>
        <w:rPr>
          <w:b/>
        </w:rPr>
        <w:t xml:space="preserve">Result: SmartArt failures fell from 20 slides to none.</w:t>
      </w:r>
    </w:p>
    <w:p>
      <w:pPr>
        <w:pStyle w:val="Heading2"/>
      </w:pPr>
      <w:r>
        <w:rPr>
          <w:b/>
          <w:sz w:val="32"/>
          <w:szCs w:val="32"/>
          <w:color w:val="2A2440"/>
        </w:rPr>
        <w:t xml:space="preserve">5. Print hanging off the edge of its shape</w:t>
      </w:r>
    </w:p>
    <w:p>
      <w:pPr/>
      <w:r>
        <w:t xml:space="preserve">Counting a slide as "clean" only says nothing was left undrawn. It says nothing about whether what was drawn stayed inside its box, and it did not: </w:t>
      </w:r>
      <w:r>
        <w:rPr>
          <w:b/>
        </w:rPr>
        <w:t xml:space="preserve">6.7% of every line laid out across the corpus — 18,524 of 277,648 — was wider than the shape holding it.</w:t>
      </w:r>
    </w:p>
    <w:p>
      <w:pPr/>
      <w:r>
        <w:t xml:space="preserve">Two causes, both in the line wrapper.</w:t>
      </w:r>
    </w:p>
    <w:p>
      <w:pPr/>
      <w:r>
        <w:rPr>
          <w:b/>
        </w:rPr>
        <w:t xml:space="preserve">A run too wide to fit on any line was placed anyway.</w:t>
      </w:r>
      <w:r>
        <w:t xml:space="preserve"> Wrapping between words cannot help a single word wider than its box, so the wrapper put it down and carried on, and every following word piled onto that already-oversized line. PowerPoint breaks mid-word rather than spill. Now so does this: the break point is guessed proportionally and then nudged, so a long run costs a couple of measurements rather than one per character.</w:t>
      </w:r>
    </w:p>
    <w:p>
      <w:pPr/>
      <w:r>
        <w:rPr>
          <w:b/>
        </w:rPr>
        <w:t xml:space="preserve">A trailing space was counted in the line's width.</w:t>
      </w:r>
      <w:r>
        <w:t xml:space="preserve"> It draws nothing, but it wrapped the next word slightly too early and shifted every centred and right-aligned line left by the width of a space. Dropped when the line closes.</w:t>
      </w:r>
    </w:p>
    <w:tbl>
      <w:tblPr>
        <w:tblStyle w:val="TableGridLight"/>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4680"/>
        <w:gridCol w:w="4680"/>
      </w:tblGrid>
      <w:tr>
        <w:trPr>
          <w:tblHeader/>
        </w:trPr>
        <w:tc>
          <w:tcPr>
            <w:tcW w:w="4680" w:type="dxa"/>
            <w:shd w:val="clear" w:fill="F2F2F2"/>
          </w:tcPr>
          <w:p>
            <w:pPr>
              <w:pStyle w:val="TableText"/>
            </w:pPr>
            <w:r>
              <w:rPr>
                <w:b/>
              </w:rPr>
              <w:t xml:space="preserve"/>
            </w:r>
          </w:p>
        </w:tc>
        <w:tc>
          <w:tcPr>
            <w:tcW w:w="4680" w:type="dxa"/>
            <w:shd w:val="clear" w:fill="F2F2F2"/>
          </w:tcPr>
          <w:p>
            <w:pPr>
              <w:pStyle w:val="TableText"/>
            </w:pPr>
            <w:r>
              <w:rPr>
                <w:b/>
              </w:rPr>
              <w:t xml:space="preserve">lines wider than their shape</w:t>
            </w:r>
          </w:p>
        </w:tc>
      </w:tr>
      <w:tr>
        <w:tc>
          <w:tcPr>
            <w:tcW w:w="4680" w:type="dxa"/>
          </w:tcPr>
          <w:p>
            <w:pPr>
              <w:pStyle w:val="TableText"/>
            </w:pPr>
            <w:r>
              <w:t xml:space="preserve">Before</w:t>
            </w:r>
          </w:p>
        </w:tc>
        <w:tc>
          <w:tcPr>
            <w:tcW w:w="4680" w:type="dxa"/>
          </w:tcPr>
          <w:p>
            <w:pPr>
              <w:pStyle w:val="TableText"/>
            </w:pPr>
            <w:r>
              <w:t xml:space="preserve">18,524 (6.67%)</w:t>
            </w:r>
          </w:p>
        </w:tc>
      </w:tr>
      <w:tr>
        <w:tc>
          <w:tcPr>
            <w:tcW w:w="4680" w:type="dxa"/>
          </w:tcPr>
          <w:p>
            <w:pPr>
              <w:pStyle w:val="TableText"/>
            </w:pPr>
            <w:r>
              <w:t xml:space="preserve">After breaking over-long runs</w:t>
            </w:r>
          </w:p>
        </w:tc>
        <w:tc>
          <w:tcPr>
            <w:tcW w:w="4680" w:type="dxa"/>
          </w:tcPr>
          <w:p>
            <w:pPr>
              <w:pStyle w:val="TableText"/>
            </w:pPr>
            <w:r>
              <w:t xml:space="preserve">8,558 (2.99%)</w:t>
            </w:r>
          </w:p>
        </w:tc>
      </w:tr>
      <w:tr>
        <w:tc>
          <w:tcPr>
            <w:tcW w:w="4680" w:type="dxa"/>
          </w:tcPr>
          <w:p>
            <w:pPr>
              <w:pStyle w:val="TableText"/>
            </w:pPr>
            <w:r>
              <w:t xml:space="preserve">After dropping trailing spaces</w:t>
            </w:r>
          </w:p>
        </w:tc>
        <w:tc>
          <w:tcPr>
            <w:tcW w:w="4680" w:type="dxa"/>
          </w:tcPr>
          <w:p>
            <w:pPr>
              <w:pStyle w:val="TableText"/>
            </w:pPr>
            <w:r>
              <w:rPr>
                <w:b/>
              </w:rPr>
              <w:t xml:space="preserve">117 (0.04%)</w:t>
            </w:r>
          </w:p>
        </w:tc>
      </w:tr>
    </w:tbl>
    <w:p>
      <w:pPr>
        <w:pStyle w:val="Spacer"/>
      </w:pPr>
      <w:r>
        <w:t xml:space="preserve"/>
      </w:r>
    </w:p>
    <w:p>
      <w:pPr/>
      <w:r>
        <w:t xml:space="preserve">What remains is single characters wider than their own box, which nothing can break further.</w:t>
      </w:r>
    </w:p>
    <w:p>
      <w:pPr/>
      <w:r>
        <w:t xml:space="preserve">Vertical overflow was measured at the same time and is a different story: 3% of text shapes, of which the ones that </w:t>
      </w:r>
      <w:r>
        <w:rPr>
          <w:i/>
        </w:rPr>
        <w:t xml:space="preserve">ask</w:t>
      </w:r>
      <w:r>
        <w:t xml:space="preserve"> to be shrunk to fit — </w:t>
      </w:r>
      <w:r>
        <w:rPr>
          <w:rFonts w:ascii="Consolas" w:hAnsi="Consolas"/>
          <w:sz w:val="18"/>
        </w:rPr>
        <w:t xml:space="preserve">normAutofit</w:t>
      </w:r>
      <w:r>
        <w:t xml:space="preserve"> — never overflow at all. The rest are shapes the deck marks as "do not shrink", or shapes with no stated height, where letting print run past the box is what PowerPoint does too. That was left alone deliberately.</w:t>
      </w:r>
    </w:p>
    <w:p>
      <w:pPr>
        <w:pStyle w:val="Heading2"/>
      </w:pPr>
      <w:r>
        <w:rPr>
          <w:b/>
          <w:sz w:val="32"/>
          <w:szCs w:val="32"/>
          <w:color w:val="2A2440"/>
        </w:rPr>
        <w:t xml:space="preserve">6. What is left</w:t>
      </w:r>
    </w:p>
    <w:p>
      <w:pPr/>
      <w:r>
        <w:t xml:space="preserve">17 slides of 1,126 — 1.5%.</w:t>
      </w:r>
    </w:p>
    <w:tbl>
      <w:tblPr>
        <w:tblStyle w:val="TableGridLight"/>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90" w:type="dxa"/>
          <w:bottom w:w="60" w:type="dxa"/>
          <w:right w:w="90" w:type="dxa"/>
        </w:tblCellMar>
      </w:tblPr>
      <w:tblGrid>
        <w:gridCol w:w="4680"/>
        <w:gridCol w:w="4680"/>
      </w:tblGrid>
      <w:tr>
        <w:trPr>
          <w:tblHeader/>
        </w:trPr>
        <w:tc>
          <w:tcPr>
            <w:tcW w:w="4680" w:type="dxa"/>
            <w:shd w:val="clear" w:fill="F2F2F2"/>
          </w:tcPr>
          <w:p>
            <w:pPr>
              <w:pStyle w:val="TableText"/>
            </w:pPr>
            <w:r>
              <w:rPr>
                <w:b/>
              </w:rPr>
              <w:t xml:space="preserve">What is missing</w:t>
            </w:r>
          </w:p>
        </w:tc>
        <w:tc>
          <w:tcPr>
            <w:tcW w:w="4680" w:type="dxa"/>
            <w:shd w:val="clear" w:fill="F2F2F2"/>
          </w:tcPr>
          <w:p>
            <w:pPr>
              <w:pStyle w:val="TableText"/>
            </w:pPr>
            <w:r>
              <w:rPr>
                <w:b/>
              </w:rPr>
              <w:t xml:space="preserve">Slides</w:t>
            </w:r>
          </w:p>
        </w:tc>
      </w:tr>
      <w:tr>
        <w:tc>
          <w:tcPr>
            <w:tcW w:w="4680" w:type="dxa"/>
          </w:tcPr>
          <w:p>
            <w:pPr>
              <w:pStyle w:val="TableText"/>
            </w:pPr>
            <w:r>
              <w:t xml:space="preserve">an embedded object</w:t>
            </w:r>
          </w:p>
        </w:tc>
        <w:tc>
          <w:tcPr>
            <w:tcW w:w="4680" w:type="dxa"/>
          </w:tcPr>
          <w:p>
            <w:pPr>
              <w:pStyle w:val="TableText"/>
            </w:pPr>
            <w:r>
              <w:t xml:space="preserve">12</w:t>
            </w:r>
          </w:p>
        </w:tc>
      </w:tr>
      <w:tr>
        <w:tc>
          <w:tcPr>
            <w:tcW w:w="4680" w:type="dxa"/>
          </w:tcPr>
          <w:p>
            <w:pPr>
              <w:pStyle w:val="TableText"/>
            </w:pPr>
            <w:r>
              <w:t xml:space="preserve">a Windows metafile (WMF)</w:t>
            </w:r>
          </w:p>
        </w:tc>
        <w:tc>
          <w:tcPr>
            <w:tcW w:w="4680" w:type="dxa"/>
          </w:tcPr>
          <w:p>
            <w:pPr>
              <w:pStyle w:val="TableText"/>
            </w:pPr>
            <w:r>
              <w:t xml:space="preserve">4</w:t>
            </w:r>
          </w:p>
        </w:tc>
      </w:tr>
      <w:tr>
        <w:tc>
          <w:tcPr>
            <w:tcW w:w="4680" w:type="dxa"/>
          </w:tcPr>
          <w:p>
            <w:pPr>
              <w:pStyle w:val="TableText"/>
            </w:pPr>
            <w:r>
              <w:t xml:space="preserve">an embedded drawing (EMF)</w:t>
            </w:r>
          </w:p>
        </w:tc>
        <w:tc>
          <w:tcPr>
            <w:tcW w:w="4680" w:type="dxa"/>
          </w:tcPr>
          <w:p>
            <w:pPr>
              <w:pStyle w:val="TableText"/>
            </w:pPr>
            <w:r>
              <w:t xml:space="preserve">1</w:t>
            </w:r>
          </w:p>
        </w:tc>
      </w:tr>
    </w:tbl>
    <w:p>
      <w:pPr>
        <w:pStyle w:val="Spacer"/>
      </w:pPr>
      <w:r>
        <w:t xml:space="preserve"/>
      </w:r>
    </w:p>
    <w:p>
      <w:pPr/>
      <w:r>
        <w:t xml:space="preserve">WMF is the older metafile format and is not implemented. The remaining embedded objects are ones with no cached preview to extract.</w:t>
      </w:r>
    </w:p>
    <w:p>
      <w:pPr/>
      <w:r>
        <w:t xml:space="preserve">None of this is worth building next. At 98% the renderer is no longer what limits the product.</w:t>
      </w:r>
    </w:p>
    <w:p>
      <w:pPr>
        <w:pStyle w:val="Heading2"/>
      </w:pPr>
      <w:r>
        <w:rPr>
          <w:b/>
          <w:sz w:val="32"/>
          <w:szCs w:val="32"/>
          <w:color w:val="2A2440"/>
        </w:rPr>
        <w:t xml:space="preserve">7. What this says about the roadmap</w:t>
      </w:r>
    </w:p>
    <w:p>
      <w:pPr/>
      <w:r>
        <w:t xml:space="preserve">The plan of record — from </w:t>
      </w:r>
      <w:r>
        <w:rPr>
          <w:rFonts w:ascii="Consolas" w:hAnsi="Consolas"/>
          <w:sz w:val="18"/>
        </w:rPr>
        <w:t xml:space="preserve">docs/business-plan.md</w:t>
      </w:r>
      <w:r>
        <w:t xml:space="preserve"> and the investor deck — put server-side LibreOffice conversion as the gate on the business tier, on the evidence that 37% of one deck rendered as placeholders.</w:t>
      </w:r>
    </w:p>
    <w:p>
      <w:pPr/>
      <w:r>
        <w:t xml:space="preserve">That evidence no longer holds. The measured figure across 32 decks is </w:t>
      </w:r>
      <w:r>
        <w:rPr>
          <w:b/>
        </w:rPr>
        <w:t xml:space="preserve">98% clean, in the browser, with nothing uploaded</w:t>
      </w:r>
      <w:r>
        <w:t xml:space="preserve">. The case for putting a document converter on a server — with the sandboxing burden, the upload path, and the asterisk it would put on the promise that files never leave the device — is considerably weaker than it was.</w:t>
      </w:r>
    </w:p>
    <w:p>
      <w:pPr/>
      <w:r>
        <w:t xml:space="preserve">Both documents still carry the old ordering and should be revised.</w:t>
      </w:r>
    </w:p>
    <w:p>
      <w:pPr>
        <w:pStyle w:val="Heading2"/>
      </w:pPr>
      <w:r>
        <w:rPr>
          <w:b/>
          <w:sz w:val="32"/>
          <w:szCs w:val="32"/>
          <w:color w:val="2A2440"/>
        </w:rPr>
        <w:t xml:space="preserve">8. How much to trust this</w:t>
      </w:r>
    </w:p>
    <w:p>
      <w:pPr/>
      <w:r>
        <w:t xml:space="preserve">Better than the previous version of this document, which rested on one deck, but still one genre: corporate strategy and architecture decks from a consultancy, heavy on pasted spreadsheet and diagram content. A sales pitch deck or a marketing deck would exercise different things — gradients, photographs, transitions.</w:t>
      </w:r>
    </w:p>
    <w:p>
      <w:pPr/>
      <w:r>
        <w:t xml:space="preserve">34 of the 76 files did not parse as </w:t>
      </w:r>
      <w:r>
        <w:rPr>
          <w:rFonts w:ascii="Consolas" w:hAnsi="Consolas"/>
          <w:sz w:val="18"/>
        </w:rPr>
        <w:t xml:space="preserve">.pptx</w:t>
      </w:r>
      <w:r>
        <w:t xml:space="preserve"> at all. They are most likely legacy </w:t>
      </w:r>
      <w:r>
        <w:rPr>
          <w:rFonts w:ascii="Consolas" w:hAnsi="Consolas"/>
          <w:sz w:val="18"/>
        </w:rPr>
        <w:t xml:space="preserve">.ppt</w:t>
      </w:r>
      <w:r>
        <w:t xml:space="preserve">, which is a different format this renderer does not read.</w:t>
      </w:r>
    </w:p>
    <w:p>
      <w:pPr/>
      <w:r>
        <w:t xml:space="preserve">The honest headline is therefore: </w:t>
      </w:r>
      <w:r>
        <w:rPr>
          <w:b/>
        </w:rPr>
        <w:t xml:space="preserve">98% of slides in 32 real corporate decks</w:t>
      </w:r>
      <w:r>
        <w:t xml:space="preserve">. Any figure quoted to a customer or an investor should name the corpus it came from.</w:t>
      </w:r>
    </w:p>
    <w:p>
      <w:pPr>
        <w:pStyle w:val="Heading2"/>
      </w:pPr>
      <w:r>
        <w:rPr>
          <w:b/>
          <w:sz w:val="32"/>
          <w:szCs w:val="32"/>
          <w:color w:val="2A2440"/>
        </w:rPr>
        <w:t xml:space="preserve">9. Reproducing this</w:t>
      </w:r>
    </w:p>
    <w:p>
      <w:pPr>
        <w:pStyle w:val="Code"/>
      </w:pPr>
      <w:r>
        <w:rPr>
          <w:rFonts w:ascii="Consolas" w:hAnsi="Consolas"/>
          <w:sz w:val="18"/>
        </w:rPr>
        <w:t xml:space="preserve">node scripts/deck-report.js &lt;deck.pptx&gt;            # counts, and which slides</w:t>
      </w:r>
    </w:p>
    <w:p>
      <w:pPr>
        <w:pStyle w:val="Code"/>
      </w:pPr>
      <w:r>
        <w:rPr>
          <w:rFonts w:ascii="Consolas" w:hAnsi="Consolas"/>
          <w:sz w:val="18"/>
        </w:rPr>
        <w:t xml:space="preserve">node scripts/deck-report.js &lt;deck.pptx&gt; --svg out  # every slide, to look at</w:t>
      </w:r>
    </w:p>
    <w:p>
      <w:pPr/>
      <w:r>
        <w:t xml:space="preserve">Keep test decks </w:t>
      </w:r>
      <w:r>
        <w:rPr>
          <w:b/>
        </w:rPr>
        <w:t xml:space="preserve">outside this repository</w:t>
      </w:r>
      <w:r>
        <w:t xml:space="preserve">. The file behind the first version of this report was a client document sitting in </w:t>
      </w:r>
      <w:r>
        <w:rPr>
          <w:rFonts w:ascii="Consolas" w:hAnsi="Consolas"/>
          <w:sz w:val="18"/>
        </w:rPr>
        <w:t xml:space="preserve">docs/</w:t>
      </w:r>
      <w:r>
        <w:t xml:space="preserve">, one </w:t>
      </w:r>
      <w:r>
        <w:rPr>
          <w:rFonts w:ascii="Consolas" w:hAnsi="Consolas"/>
          <w:sz w:val="18"/>
        </w:rPr>
        <w:t xml:space="preserve">git add -A</w:t>
      </w:r>
      <w:r>
        <w:t xml:space="preserve"> away from a public repo.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abstractNum>
  <w:abstractNum w:abstractNumId="1">
    <w:lvl w:ilvl="0">
      <w:start w:val="1"/>
      <w:numFmt w:val="decimal"/>
      <w:lvlText w:val="%1."/>
      <w:lvlJc w:val="left"/>
      <w:pPr>
        <w:ind w:left="36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40" w:line="276" w:lineRule="auto"/>
      </w:pPr>
    </w:pPrDefault>
  </w:docDefaults>
  <w:style w:type="paragraph" w:default="1" w:styleId="Normal">
    <w:name w:val="Normal"/>
  </w:style>
  <w:style w:type="paragraph" w:styleId="Heading1">
    <w:name w:val="heading 1"/>
    <w:basedOn w:val="Normal"/>
    <w:pPr>
      <w:outlineLvl w:val="0"/>
      <w:spacing w:before="240" w:after="120"/>
    </w:pPr>
    <w:rPr>
      <w:b/>
      <w:sz w:val="44"/>
      <w:color w:val="2A2440"/>
    </w:rPr>
  </w:style>
  <w:style w:type="paragraph" w:styleId="Heading2">
    <w:name w:val="heading 2"/>
    <w:basedOn w:val="Normal"/>
    <w:pPr>
      <w:outlineLvl w:val="1"/>
      <w:spacing w:before="280" w:after="120"/>
      <w:pBdr>
        <w:bottom w:val="single" w:sz="6" w:space="4" w:color="FF8382"/>
      </w:pBdr>
    </w:pPr>
    <w:rPr>
      <w:b/>
      <w:sz w:val="32"/>
      <w:color w:val="2A2440"/>
    </w:rPr>
  </w:style>
  <w:style w:type="paragraph" w:styleId="Heading3">
    <w:name w:val="heading 3"/>
    <w:basedOn w:val="Normal"/>
    <w:pPr>
      <w:outlineLvl w:val="2"/>
      <w:spacing w:before="220" w:after="80"/>
    </w:pPr>
    <w:rPr>
      <w:b/>
      <w:sz w:val="26"/>
      <w:color w:val="3B3357"/>
    </w:rPr>
  </w:style>
  <w:style w:type="paragraph" w:styleId="Heading4">
    <w:name w:val="heading 4"/>
    <w:basedOn w:val="Normal"/>
    <w:pPr>
      <w:outlineLvl w:val="3"/>
    </w:pPr>
    <w:rPr>
      <w:b/>
      <w:i/>
      <w:sz w:val="23"/>
    </w:rPr>
  </w:style>
  <w:style w:type="paragraph" w:styleId="Quote">
    <w:name w:val="Quote"/>
    <w:basedOn w:val="Normal"/>
    <w:pPr>
      <w:ind w:left="480"/>
      <w:pBdr>
        <w:left w:val="single" w:sz="18" w:space="12" w:color="51D1E3"/>
      </w:pBdr>
    </w:pPr>
    <w:rPr>
      <w:i/>
      <w:color w:val="454050"/>
    </w:rPr>
  </w:style>
  <w:style w:type="paragraph" w:styleId="Code">
    <w:name w:val="Code"/>
    <w:basedOn w:val="Normal"/>
    <w:pPr>
      <w:spacing w:after="0"/>
      <w:shd w:val="clear" w:fill="F5F5F7"/>
      <w:ind w:left="240"/>
    </w:pPr>
    <w:rPr>
      <w:rFonts w:ascii="Consolas" w:hAnsi="Consolas"/>
      <w:sz w:val="18"/>
    </w:rPr>
  </w:style>
  <w:style w:type="paragraph" w:styleId="TableText">
    <w:name w:val="Table Text"/>
    <w:basedOn w:val="Normal"/>
    <w:pPr>
      <w:spacing w:before="20" w:after="20" w:line="240" w:lineRule="auto"/>
    </w:pPr>
    <w:rPr>
      <w:sz w:val="19"/>
    </w:rPr>
  </w:style>
  <w:style w:type="paragraph" w:styleId="Spacer">
    <w:name w:val="Spacer"/>
    <w:basedOn w:val="Normal"/>
    <w:pPr>
      <w:spacing w:after="0"/>
    </w:pPr>
    <w:rPr>
      <w:sz w:val="12"/>
    </w:rPr>
  </w:style>
  <w:style w:type="paragraph" w:styleId="ListBullet">
    <w:name w:val="List Bullet"/>
    <w:basedOn w:val="Normal"/>
    <w:pPr>
      <w:spacing w:after="60"/>
    </w:pPr>
  </w:style>
  <w:style w:type="paragraph" w:styleId="ListNumber">
    <w:name w:val="List Number"/>
    <w:basedOn w:val="Normal"/>
    <w:pPr>
      <w:spacing w:after="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Vinboo</Application>
</Properties>
</file>

<file path=docProps/core.xml><?xml version="1.0" encoding="utf-8"?>
<cp:coreProperties xmlns:cp="http://schemas.openxmlformats.org/package/2006/metadata/core-properties" xmlns:dc="http://purl.org/dc/elements/1.1/" xmlns:dcterms="http://purl.org/dc/terms/" xmlns:xsi="http://www.w3.org/2001/XMLSchema-instance">
  <dc:title>What Real Decks Cost the Renderer</dc:title>
  <dc:creator>Vinboo</dc:creator>
  <cp:lastModifiedBy>Vinboo</cp:lastModifiedBy>
  <dcterms:created xsi:type="dcterms:W3CDTF">2026-08-20T18:38:21Z</dcterms:created>
  <dcterms:modified xsi:type="dcterms:W3CDTF">2026-08-20T18:38:21Z</dcterms:modified>
</cp:coreProperties>
</file>