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Business plan — Vinboo</w:t>
      </w:r>
    </w:p>
    <w:p>
      <w:pPr/>
      <w:r>
        <w:rPr>
          <w:i/>
        </w:rPr>
        <w:t xml:space="preserve">August 2026. Companion to </w:t>
      </w:r>
      <w:r>
        <w:rPr>
          <w:i/>
        </w:rPr>
        <w:t xml:space="preserve">competitive-analysis.md</w:t>
      </w:r>
      <w:r>
        <w:rPr>
          <w:i/>
        </w:rPr>
        <w:t xml:space="preserve">, which this plan assumes and does not repeat. Every number is tagged: </w:t>
      </w:r>
      <w:r>
        <w:rPr>
          <w:i/>
        </w:rPr>
        <w:t xml:space="preserve">[measured]</w:t>
      </w:r>
      <w:r>
        <w:rPr>
          <w:i/>
        </w:rPr>
        <w:t xml:space="preserve"> from this codebase, </w:t>
      </w:r>
      <w:r>
        <w:rPr>
          <w:i/>
        </w:rPr>
        <w:t xml:space="preserve">[sourced]</w:t>
      </w:r>
      <w:r>
        <w:rPr>
          <w:i/>
        </w:rPr>
        <w:t xml:space="preserve"> from a vendor or public figure cited at the end, or </w:t>
      </w:r>
      <w:r>
        <w:rPr>
          <w:i/>
        </w:rPr>
        <w:t xml:space="preserve">[assumed]</w:t>
      </w:r>
      <w:r>
        <w:rPr>
          <w:i/>
        </w:rPr>
        <w:t xml:space="preserve"> — a planning estimate that should be replaced with real data as soon as there is any.</w:t>
      </w:r>
    </w:p>
    <w:p>
      <w:r>
        <w:br w:type="page"/>
      </w:r>
    </w:p>
    <w:p>
      <w:pPr>
        <w:pStyle w:val="Heading2"/>
      </w:pPr>
      <w:r>
        <w:rPr>
          <w:b/>
          <w:sz w:val="32"/>
          <w:szCs w:val="32"/>
          <w:color w:val="2A2440"/>
        </w:rPr>
        <w:t xml:space="preserve">1. Executive summary</w:t>
      </w:r>
    </w:p>
    <w:p>
      <w:pPr/>
      <w:r>
        <w:t xml:space="preserve">Vinboo is a browser slideshow broadcaster: photos or a PowerPoint on every screen at once, streamed from the presenter's own device, with nothing uploaded and no account needed to watch.</w:t>
      </w:r>
    </w:p>
    <w:p>
      <w:pPr/>
      <w:r>
        <w:rPr>
          <w:b/>
        </w:rPr>
        <w:t xml:space="preserve">The model.</w:t>
      </w:r>
      <w:r>
        <w:t xml:space="preserve"> Free, funded by three ad placements — the landing page, the signed-in library, and the viewer page. Premium subscriptions remove the ads and add the things the free architecture cannot do: a show that survives everyone going offline, end-to-end encryption, and event-scale use.</w:t>
      </w:r>
    </w:p>
    <w:p>
      <w:pPr/>
      <w:r>
        <w:rPr>
          <w:b/>
        </w:rPr>
        <w:t xml:space="preserve">The finding that matters most.</w:t>
      </w:r>
      <w:r>
        <w:t xml:space="preserve"> Ads are not the business. At a realistic consumer display RPM, ads produce roughly a third of revenue at scale and cover infrastructure comfortably — but subscriptions produce the rest. Modelled at 250,000 monthly presenters: </w:t>
      </w:r>
      <w:r>
        <w:rPr>
          <w:b/>
        </w:rPr>
        <w:t xml:space="preserve">$135k/year advertising, $299k/year subscriptions, $18k/year infrastructure.</w:t>
      </w:r>
    </w:p>
    <w:p>
      <w:pPr/>
      <w:r>
        <w:rPr>
          <w:b/>
        </w:rPr>
        <w:t xml:space="preserve">The finding that costs the most.</w:t>
      </w:r>
      <w:r>
        <w:t xml:space="preserve"> In live mode a viewer holds only six slides in memory, so a show re-fetches the same photos through the relay for as long as it runs. </w:t>
      </w:r>
      <w:r>
        <w:rPr>
          <w:b/>
        </w:rPr>
        <w:t xml:space="preserve">Cost therefore scales with duration rather than with content, and break-even is 19 minutes</w:t>
      </w:r>
      <w:r>
        <w:t xml:space="preserve"> — a show earns $0.015 and costs about $0.048 an hour to serve. Blended over a realistic mix of show lengths that is </w:t>
      </w:r>
      <w:r>
        <w:rPr>
          <w:b/>
        </w:rPr>
        <w:t xml:space="preserve">18× more egress than necessary</w:t>
      </w:r>
      <w:r>
        <w:t xml:space="preserve">, which takes gross margin from </w:t>
      </w:r>
      <w:r>
        <w:rPr>
          <w:b/>
        </w:rPr>
        <w:t xml:space="preserve">96% to 33%</w:t>
      </w:r>
      <w:r>
        <w:t xml:space="preserve">; if shows really do run all evening it reaches $72,000/month and exceeds revenue outright. Having a viewer keep the show, which hand-off mode already does, is a few hours of work and is the single highest-value engineering task in this document.</w:t>
      </w:r>
    </w:p>
    <w:p>
      <w:pPr/>
      <w:r>
        <w:rPr>
          <w:b/>
        </w:rPr>
        <w:t xml:space="preserve">The pleasant surprise.</w:t>
      </w:r>
      <w:r>
        <w:t xml:space="preserve"> Premium is </w:t>
      </w:r>
      <w:r>
        <w:rPr>
          <w:i/>
        </w:rPr>
        <w:t xml:space="preserve">cheaper to serve than free</w:t>
      </w:r>
      <w:r>
        <w:t xml:space="preserve">. Object storage costs $0.015/GB-month with free egress on both Railway and Cloudflare R2, while relayed traffic costs $0.05/GB. A stored premium show serves at near-zero marginal cost; a free relayed show does not. Ten thousand stored slideshows cost </w:t>
      </w:r>
      <w:r>
        <w:rPr>
          <w:b/>
        </w:rPr>
        <w:t xml:space="preserve">$2.50/month</w:t>
      </w:r>
      <w:r>
        <w:t xml:space="preserve"> to keep.</w:t>
      </w:r>
    </w:p>
    <w:p>
      <w:r>
        <w:br w:type="page"/>
      </w:r>
    </w:p>
    <w:p>
      <w:pPr>
        <w:pStyle w:val="Heading2"/>
      </w:pPr>
      <w:r>
        <w:rPr>
          <w:b/>
          <w:sz w:val="32"/>
          <w:szCs w:val="32"/>
          <w:color w:val="2A2440"/>
        </w:rPr>
        <w:t xml:space="preserve">2. What the competition proves</w:t>
      </w:r>
    </w:p>
    <w:p>
      <w:pPr/>
      <w:r>
        <w:t xml:space="preserve">The competitive analysis establishes the gap. Three of its findings carry directly into the financial plan.</w:t>
      </w:r>
    </w:p>
    <w:p>
      <w:pPr/>
      <w:r>
        <w:rPr>
          <w:b/>
        </w:rPr>
        <w:t xml:space="preserve">The audience-follows-along market is real and large.</w:t>
      </w:r>
      <w:r>
        <w:t xml:space="preserve"> Mentimeter reached </w:t>
      </w:r>
      <w:r>
        <w:rPr>
          <w:b/>
        </w:rPr>
        <w:t xml:space="preserve">270 million participants against 14 million presenters</w:t>
      </w:r>
      <w:r>
        <w:t xml:space="preserve"> by the end of 2021 — a </w:t>
      </w:r>
      <w:r>
        <w:rPr>
          <w:b/>
        </w:rPr>
        <w:t xml:space="preserve">19:1 viewer-to-presenter ratio</w:t>
      </w:r>
      <w:r>
        <w:t xml:space="preserve"> — with 80,000 paying customers and $38M revenue in 2024 [sourced]. That ratio is the most important number in this plan, because in an ad-funded model </w:t>
      </w:r>
      <w:r>
        <w:rPr>
          <w:i/>
        </w:rPr>
        <w:t xml:space="preserve">viewers are the inventory</w:t>
      </w:r>
      <w:r>
        <w:t xml:space="preserve">. Vinboo's ratio will be lower for living-room use (a party has three TVs, not nineteen guests with phones) but the same shape: every presenter brings several ad impressions with them at no acquisition cost.</w:t>
      </w:r>
    </w:p>
    <w:p>
      <w:pPr/>
      <w:r>
        <w:rPr>
          <w:b/>
        </w:rPr>
        <w:t xml:space="preserve">But the exact feature has failed before.</w:t>
      </w:r>
      <w:r>
        <w:t xml:space="preserve"> Microsoft retired PowerPoint Present Live citing low usage [sourced]. That is direct evidence that "audience follows on their own device" is a smaller want than it looks, and it is the strongest argument for </w:t>
      </w:r>
      <w:r>
        <w:rPr>
          <w:i/>
        </w:rPr>
        <w:t xml:space="preserve">not</w:t>
      </w:r>
      <w:r>
        <w:t xml:space="preserve"> betting the company on the presentation use case alone.</w:t>
      </w:r>
    </w:p>
    <w:p>
      <w:pPr/>
      <w:r>
        <w:rPr>
          <w:b/>
        </w:rPr>
        <w:t xml:space="preserve">Willingness to pay is proven at low prices.</w:t>
      </w:r>
      <w:r>
        <w:t xml:space="preserve"> Pixo charges from $1.49/month </w:t>
      </w:r>
      <w:r>
        <w:rPr>
          <w:b/>
        </w:rPr>
        <w:t xml:space="preserve">per television</w:t>
      </w:r>
      <w:r>
        <w:t xml:space="preserve">, capped at three or six screens, and markets "no need to keep the app open" as its headline [sourced via analysis]. Sync starts at $12.50/month. Mentimeter charges $11.99–24.99 per presenter/month [sourced]. So the market pays $1.50 at the ambient-photo end and $12–25 at the presentation end. Vinboo's premium belongs between them, and its unlimited-screens position is worth real money against a competitor that charges per screen and caps at six.</w:t>
      </w:r>
    </w:p>
    <w:p>
      <w:r>
        <w:br w:type="page"/>
      </w:r>
    </w:p>
    <w:p>
      <w:pPr>
        <w:pStyle w:val="Heading2"/>
      </w:pPr>
      <w:r>
        <w:rPr>
          <w:b/>
          <w:sz w:val="32"/>
          <w:szCs w:val="32"/>
          <w:color w:val="2A2440"/>
        </w:rPr>
        <w:t xml:space="preserve">3. The free tier and its advertising</w:t>
      </w:r>
    </w:p>
    <w:p>
      <w:pPr>
        <w:pStyle w:val="Heading3"/>
      </w:pPr>
      <w:r>
        <w:rPr>
          <w:b/>
          <w:sz w:val="26"/>
          <w:szCs w:val="26"/>
          <w:color w:val="3B3357"/>
        </w:rPr>
        <w:t xml:space="preserve">Placements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Placement</w:t>
            </w:r>
          </w:p>
        </w:tc>
        <w:tc>
          <w:tcPr>
            <w:tcW w:w="2340" w:type="dxa"/>
            <w:shd w:val="clear" w:fill="F2F2F2"/>
          </w:tcPr>
          <w:p>
            <w:pPr>
              <w:pStyle w:val="TableText"/>
            </w:pPr>
            <w:r>
              <w:rPr>
                <w:b/>
              </w:rPr>
              <w:t xml:space="preserve">Seen by</w:t>
            </w:r>
          </w:p>
        </w:tc>
        <w:tc>
          <w:tcPr>
            <w:tcW w:w="2340" w:type="dxa"/>
            <w:shd w:val="clear" w:fill="F2F2F2"/>
          </w:tcPr>
          <w:p>
            <w:pPr>
              <w:pStyle w:val="TableText"/>
            </w:pPr>
            <w:r>
              <w:rPr>
                <w:b/>
              </w:rPr>
              <w:t xml:space="preserve">Per session</w:t>
            </w:r>
          </w:p>
        </w:tc>
      </w:tr>
      <w:tr>
        <w:tc>
          <w:tcPr>
            <w:tcW w:w="2340" w:type="dxa"/>
          </w:tcPr>
          <w:p>
            <w:pPr>
              <w:pStyle w:val="TableText"/>
            </w:pPr>
            <w:r>
              <w:t xml:space="preserve">1</w:t>
            </w:r>
          </w:p>
        </w:tc>
        <w:tc>
          <w:tcPr>
            <w:tcW w:w="2340" w:type="dxa"/>
          </w:tcPr>
          <w:p>
            <w:pPr>
              <w:pStyle w:val="TableText"/>
            </w:pPr>
            <w:r>
              <w:t xml:space="preserve">Landing / sign-in page</w:t>
            </w:r>
          </w:p>
        </w:tc>
        <w:tc>
          <w:tcPr>
            <w:tcW w:w="2340" w:type="dxa"/>
          </w:tcPr>
          <w:p>
            <w:pPr>
              <w:pStyle w:val="TableText"/>
            </w:pPr>
            <w:r>
              <w:t xml:space="preserve">Everyone who arrives</w:t>
            </w:r>
          </w:p>
        </w:tc>
        <w:tc>
          <w:tcPr>
            <w:tcW w:w="2340" w:type="dxa"/>
          </w:tcPr>
          <w:p>
            <w:pPr>
              <w:pStyle w:val="TableText"/>
            </w:pPr>
            <w:r>
              <w:t xml:space="preserve">1</w:t>
            </w:r>
          </w:p>
        </w:tc>
      </w:tr>
      <w:tr>
        <w:tc>
          <w:tcPr>
            <w:tcW w:w="2340" w:type="dxa"/>
          </w:tcPr>
          <w:p>
            <w:pPr>
              <w:pStyle w:val="TableText"/>
            </w:pPr>
            <w:r>
              <w:t xml:space="preserve">2</w:t>
            </w:r>
          </w:p>
        </w:tc>
        <w:tc>
          <w:tcPr>
            <w:tcW w:w="2340" w:type="dxa"/>
          </w:tcPr>
          <w:p>
            <w:pPr>
              <w:pStyle w:val="TableText"/>
            </w:pPr>
            <w:r>
              <w:t xml:space="preserve">Signed-in library page</w:t>
            </w:r>
          </w:p>
        </w:tc>
        <w:tc>
          <w:tcPr>
            <w:tcW w:w="2340" w:type="dxa"/>
          </w:tcPr>
          <w:p>
            <w:pPr>
              <w:pStyle w:val="TableText"/>
            </w:pPr>
            <w:r>
              <w:t xml:space="preserve">Presenters</w:t>
            </w:r>
          </w:p>
        </w:tc>
        <w:tc>
          <w:tcPr>
            <w:tcW w:w="2340" w:type="dxa"/>
          </w:tcPr>
          <w:p>
            <w:pPr>
              <w:pStyle w:val="TableText"/>
            </w:pPr>
            <w:r>
              <w:t xml:space="preserve">1</w:t>
            </w:r>
          </w:p>
        </w:tc>
      </w:tr>
      <w:tr>
        <w:tc>
          <w:tcPr>
            <w:tcW w:w="2340" w:type="dxa"/>
          </w:tcPr>
          <w:p>
            <w:pPr>
              <w:pStyle w:val="TableText"/>
            </w:pPr>
            <w:r>
              <w:t xml:space="preserve">3</w:t>
            </w:r>
          </w:p>
        </w:tc>
        <w:tc>
          <w:tcPr>
            <w:tcW w:w="2340" w:type="dxa"/>
          </w:tcPr>
          <w:p>
            <w:pPr>
              <w:pStyle w:val="TableText"/>
            </w:pPr>
            <w:r>
              <w:t xml:space="preserve">Viewer page, at the join step</w:t>
            </w:r>
          </w:p>
        </w:tc>
        <w:tc>
          <w:tcPr>
            <w:tcW w:w="2340" w:type="dxa"/>
          </w:tcPr>
          <w:p>
            <w:pPr>
              <w:pStyle w:val="TableText"/>
            </w:pPr>
            <w:r>
              <w:t xml:space="preserve">Every screen that watches</w:t>
            </w:r>
          </w:p>
        </w:tc>
        <w:tc>
          <w:tcPr>
            <w:tcW w:w="2340" w:type="dxa"/>
          </w:tcPr>
          <w:p>
            <w:pPr>
              <w:pStyle w:val="TableText"/>
            </w:pPr>
            <w:r>
              <w:t xml:space="preserve">1</w:t>
            </w:r>
          </w:p>
        </w:tc>
      </w:tr>
    </w:tbl>
    <w:p>
      <w:pPr>
        <w:pStyle w:val="Spacer"/>
      </w:pPr>
      <w:r>
        <w:t xml:space="preserve"/>
      </w:r>
    </w:p>
    <w:p>
      <w:pPr/>
      <w:r>
        <w:t xml:space="preserve">A show with four screens therefore produces about </w:t>
      </w:r>
      <w:r>
        <w:rPr>
          <w:b/>
        </w:rPr>
        <w:t xml:space="preserve">six impressions</w:t>
      </w:r>
      <w:r>
        <w:t xml:space="preserve">: two from the presenter, four from the screens.</w:t>
      </w:r>
    </w:p>
    <w:p>
      <w:pPr>
        <w:pStyle w:val="Heading3"/>
      </w:pPr>
      <w:r>
        <w:rPr>
          <w:b/>
          <w:sz w:val="26"/>
          <w:szCs w:val="26"/>
          <w:color w:val="3B3357"/>
        </w:rPr>
        <w:t xml:space="preserve">Revenue model</w:t>
      </w:r>
    </w:p>
    <w:p>
      <w:pPr/>
      <w:r>
        <w:t xml:space="preserve">Consumer utility traffic earns a blended </w:t>
      </w:r>
      <w:r>
        <w:rPr>
          <w:b/>
        </w:rPr>
        <w:t xml:space="preserve">$2.50 RPM</w:t>
      </w:r>
      <w:r>
        <w:t xml:space="preserve"> [assumed]; published ranges are $0.25–$3 for generic sites and $3–12 across AdSense broadly, with non-Tier-1 traffic earning 50–80% less [sourced]. $2.50 is deliberately near the bottom of that range because Vinboo's traffic is international, low-intent and short-session.</w:t>
      </w:r>
    </w:p>
    <w:p>
      <w:pPr>
        <w:pStyle w:val="Heading3"/>
      </w:pPr>
      <w:r>
        <w:rPr>
          <w:b/>
          <w:sz w:val="26"/>
          <w:szCs w:val="26"/>
          <w:color w:val="3B3357"/>
        </w:rPr>
        <w:t xml:space="preserve">Four honest problems with the ad plan</w:t>
      </w:r>
    </w:p>
    <w:p>
      <w:pPr>
        <w:pStyle w:val="ListNumber"/>
        <w:numPr>
          <w:ilvl w:val="0"/>
          <w:numId w:val="2"/>
        </w:numPr>
      </w:pPr>
      <w:r>
        <w:rPr>
          <w:b/>
        </w:rPr>
        <w:t xml:space="preserve">The app is one page view per session.</w:t>
      </w:r>
      <w:r>
        <w:t xml:space="preserve"> The README already notes this: the app moves between landing, library and player without navigating, so a whole evening of presenting registers as a single view. Three placements is the ceiling, not a starting point — there is no scroll feed to add units to.</w:t>
      </w:r>
    </w:p>
    <w:p>
      <w:pPr>
        <w:pStyle w:val="ListNumber"/>
        <w:numPr>
          <w:ilvl w:val="0"/>
          <w:numId w:val="2"/>
        </w:numPr>
      </w:pPr>
      <w:r>
        <w:rPr>
          <w:b/>
        </w:rPr>
        <w:t xml:space="preserve">The viewer page is often a television.</w:t>
      </w:r>
      <w:r>
        <w:t xml:space="preserve"> An ad on a TV at a party is low-value inventory: nobody clicks it, and it is exactly the kind of non-interactive placement ad networks scrutinise. Assume viewer impressions monetise </w:t>
      </w:r>
      <w:r>
        <w:rPr>
          <w:b/>
        </w:rPr>
        <w:t xml:space="preserve">below</w:t>
      </w:r>
      <w:r>
        <w:t xml:space="preserve"> presenter impressions, and expect some networks to decline the placement entirely.</w:t>
      </w:r>
    </w:p>
    <w:p>
      <w:pPr>
        <w:pStyle w:val="ListNumber"/>
        <w:numPr>
          <w:ilvl w:val="0"/>
          <w:numId w:val="2"/>
        </w:numPr>
      </w:pPr>
      <w:r>
        <w:rPr>
          <w:b/>
        </w:rPr>
        <w:t xml:space="preserve">Consent is a real cost.</w:t>
      </w:r>
      <w:r>
        <w:t xml:space="preserve"> EEA and UK traffic needs a certified consent platform before a single ad cookie is set. That is engineering work, a vendor relationship, and a measurable dent in fill rate.</w:t>
      </w:r>
    </w:p>
    <w:p>
      <w:pPr>
        <w:pStyle w:val="ListNumber"/>
        <w:numPr>
          <w:ilvl w:val="0"/>
          <w:numId w:val="2"/>
        </w:numPr>
      </w:pPr>
      <w:r>
        <w:rPr>
          <w:b/>
        </w:rPr>
        <w:t xml:space="preserve">Ads contradict the product's one strong claim.</w:t>
      </w:r>
      <w:r>
        <w:t xml:space="preserve"> Vinboo's position is privacy — "nothing is uploaded". Third-party ad tags are the least private thing on the internet. This is not fatal, but the E2EE tier and the ad network cannot coexist on the same page, and the marketing has to be careful not to sound hypocritical.</w:t>
      </w:r>
    </w:p>
    <w:p>
      <w:pPr/>
      <w:r>
        <w:rPr>
          <w:b/>
        </w:rPr>
        <w:t xml:space="preserve">Conclusion: treat advertising as a floor that pays for infrastructure, not as the business.</w:t>
      </w:r>
      <w:r>
        <w:t xml:space="preserve"> It covers hosting from early on and becomes meaningful at scale, but the plan should not depend on it.</w:t>
      </w:r>
    </w:p>
    <w:p>
      <w:r>
        <w:br w:type="page"/>
      </w:r>
    </w:p>
    <w:p>
      <w:pPr>
        <w:pStyle w:val="Heading2"/>
      </w:pPr>
      <w:r>
        <w:rPr>
          <w:b/>
          <w:sz w:val="32"/>
          <w:szCs w:val="32"/>
          <w:color w:val="2A2440"/>
        </w:rPr>
        <w:t xml:space="preserve">4. Premium tiers</w:t>
      </w:r>
    </w:p>
    <w:p>
      <w:pPr/>
      <w:r>
        <w:t xml:space="preserve">Priced against the anchors above, and limited to things the free architecture genuinely cannot do — a paid tier that only removes an artificial limit invites resentment.</w:t>
      </w:r>
    </w:p>
    <w:p>
      <w:pPr>
        <w:pStyle w:val="Heading3"/>
      </w:pPr>
      <w:r>
        <w:rPr>
          <w:b/>
          <w:sz w:val="26"/>
          <w:szCs w:val="26"/>
          <w:color w:val="3B3357"/>
        </w:rPr>
        <w:t xml:space="preserve">Vinboo Plus — $3.99/month or $29/year</w:t>
      </w:r>
    </w:p>
    <w:p>
      <w:pPr/>
      <w:r>
        <w:t xml:space="preserve">The unattended tier. It closes the single biggest weakness in the competitive analysis and directly answers Pixo.</w:t>
      </w:r>
    </w:p>
    <w:p>
      <w:pPr>
        <w:pStyle w:val="ListBullet"/>
        <w:numPr>
          <w:ilvl w:val="0"/>
          <w:numId w:val="1"/>
        </w:numPr>
      </w:pPr>
      <w:r>
        <w:rPr>
          <w:b/>
        </w:rPr>
        <w:t xml:space="preserve">Shows stored on the server</w:t>
      </w:r>
      <w:r>
        <w:t xml:space="preserve"> for their lifetime, so the slideshow survives everyone going offline. Today a handed-off show stops being joinable when the last screen with a copy switches off.</w:t>
      </w:r>
    </w:p>
    <w:p>
      <w:pPr>
        <w:pStyle w:val="ListBullet"/>
        <w:numPr>
          <w:ilvl w:val="0"/>
          <w:numId w:val="1"/>
        </w:numPr>
      </w:pPr>
      <w:r>
        <w:rPr>
          <w:b/>
        </w:rPr>
        <w:t xml:space="preserve">Longer life</w:t>
      </w:r>
      <w:r>
        <w:t xml:space="preserve">: 7 days instead of 48 hours, and more than three standing shows.</w:t>
      </w:r>
    </w:p>
    <w:p>
      <w:pPr>
        <w:pStyle w:val="ListBullet"/>
        <w:numPr>
          <w:ilvl w:val="0"/>
          <w:numId w:val="1"/>
        </w:numPr>
      </w:pPr>
      <w:r>
        <w:rPr>
          <w:b/>
        </w:rPr>
        <w:t xml:space="preserve">No photo cap</w:t>
      </w:r>
      <w:r>
        <w:t xml:space="preserve"> on hand-off (free is 50).</w:t>
      </w:r>
    </w:p>
    <w:p>
      <w:pPr>
        <w:pStyle w:val="ListBullet"/>
        <w:numPr>
          <w:ilvl w:val="0"/>
          <w:numId w:val="1"/>
        </w:numPr>
      </w:pPr>
      <w:r>
        <w:rPr>
          <w:b/>
        </w:rPr>
        <w:t xml:space="preserve">No ads</w:t>
      </w:r>
      <w:r>
        <w:t xml:space="preserve">, anywhere.</w:t>
      </w:r>
    </w:p>
    <w:p>
      <w:pPr>
        <w:pStyle w:val="ListBullet"/>
        <w:numPr>
          <w:ilvl w:val="0"/>
          <w:numId w:val="1"/>
        </w:numPr>
      </w:pPr>
      <w:r>
        <w:rPr>
          <w:i/>
        </w:rPr>
        <w:t xml:space="preserve">(QR-code joining was listed here and has instead shipped free for everyone — it is table stakes, and paywalling table stakes is how a free tier gets a reputation for being crippled.)</w:t>
      </w:r>
    </w:p>
    <w:p>
      <w:pPr/>
      <w:r>
        <w:rPr>
          <w:i/>
        </w:rPr>
        <w:t xml:space="preserve">Why this price:</w:t>
      </w:r>
      <w:r>
        <w:t xml:space="preserve"> Pixo is $1.49/month for </w:t>
      </w:r>
      <w:r>
        <w:rPr>
          <w:b/>
        </w:rPr>
        <w:t xml:space="preserve">one</w:t>
      </w:r>
      <w:r>
        <w:t xml:space="preserve"> television and caps at six. Plus is unlimited screens at $3.99, which beats Pixo outright for anyone with three or more TVs and reads as inexpensive against Sync at $12.50.</w:t>
      </w:r>
    </w:p>
    <w:p>
      <w:pPr>
        <w:pStyle w:val="Heading3"/>
      </w:pPr>
      <w:r>
        <w:rPr>
          <w:b/>
          <w:sz w:val="26"/>
          <w:szCs w:val="26"/>
          <w:color w:val="3B3357"/>
        </w:rPr>
        <w:t xml:space="preserve">Vinboo Private — $8.99/month or $79/year</w:t>
      </w:r>
    </w:p>
    <w:p>
      <w:pPr/>
      <w:r>
        <w:t xml:space="preserve">End-to-end encryption. The competitive analysis is explicit that </w:t>
      </w:r>
      <w:r>
        <w:rPr>
          <w:b/>
        </w:rPr>
        <w:t xml:space="preserve">no competitor in the set offers it</w:t>
      </w:r>
      <w:r>
        <w:t xml:space="preserve">, and the design already exists in </w:t>
      </w:r>
      <w:r>
        <w:t xml:space="preserve">architecture-e2ee.svg</w:t>
      </w:r>
      <w:r>
        <w:t xml:space="preserve">.</w:t>
      </w:r>
    </w:p>
    <w:p>
      <w:pPr/>
      <w:r>
        <w:t xml:space="preserve">Storing photos on a server (Plus) and being unable to read them (Private) is a natural bundle: the same feature that makes the show survive offline is the one that creates the privacy exposure, and encryption is the answer to it. Sell Private as Plus plus a promise: </w:t>
      </w:r>
      <w:r>
        <w:rPr>
          <w:i/>
        </w:rPr>
        <w:t xml:space="preserve">we hold your slideshow and we cannot open it.</w:t>
      </w:r>
    </w:p>
    <w:p>
      <w:pPr/>
      <w:r>
        <w:t xml:space="preserve">This tier also resolves the contradiction in §3.4 — Private carries no ads and no third-party tags at all.</w:t>
      </w:r>
    </w:p>
    <w:p>
      <w:pPr>
        <w:pStyle w:val="Heading3"/>
      </w:pPr>
      <w:r>
        <w:rPr>
          <w:b/>
          <w:sz w:val="26"/>
          <w:szCs w:val="26"/>
          <w:color w:val="3B3357"/>
        </w:rPr>
        <w:t xml:space="preserve">Vinboo Event — $19 one-off, 7 days</w:t>
      </w:r>
    </w:p>
    <w:p>
      <w:pPr/>
      <w:r>
        <w:t xml:space="preserve">Weddings, conferences, parties. The analysis names events as a proven willingness-to-pay segment. A one-off pass converts people who will never take a subscription, and it is the right shape for the buyer: unlimited screens, storage, no ads, for one weekend.</w:t>
      </w:r>
    </w:p>
    <w:p>
      <w:pPr>
        <w:pStyle w:val="Heading3"/>
      </w:pPr>
      <w:r>
        <w:rPr>
          <w:b/>
          <w:sz w:val="26"/>
          <w:szCs w:val="26"/>
          <w:color w:val="3B3357"/>
        </w:rPr>
        <w:t xml:space="preserve">Vinboo Venue — from $6/screen/month</w:t>
      </w:r>
    </w:p>
    <w:p>
      <w:pPr/>
      <w:r>
        <w:t xml:space="preserve">Deliberately deprioritised. It is Yodeck's market, they are established, and it pulls the product toward digital signage and away from the consumer story. Listed only so the decision to skip it is on the record.</w:t>
      </w:r>
    </w:p>
    <w:p>
      <w:pPr>
        <w:pStyle w:val="Heading3"/>
      </w:pPr>
      <w:r>
        <w:rPr>
          <w:b/>
          <w:sz w:val="26"/>
          <w:szCs w:val="26"/>
          <w:color w:val="3B3357"/>
        </w:rPr>
        <w:t xml:space="preserve">What should </w:t>
      </w:r>
      <w:r>
        <w:rPr>
          <w:b/>
          <w:i/>
          <w:sz w:val="26"/>
          <w:szCs w:val="26"/>
          <w:color w:val="3B3357"/>
        </w:rPr>
        <w:t xml:space="preserve">not</w:t>
      </w:r>
      <w:r>
        <w:rPr>
          <w:b/>
          <w:sz w:val="26"/>
          <w:szCs w:val="26"/>
          <w:color w:val="3B3357"/>
        </w:rPr>
        <w:t xml:space="preserve"> be paid</w:t>
      </w:r>
    </w:p>
    <w:p>
      <w:pPr/>
      <w:r>
        <w:t xml:space="preserve">Polls, quizzes and engagement analytics — Sync's category, per the analysis. And video, which should be free when it exists, because its absence is a parity gap rather than a premium feature.</w:t>
      </w:r>
    </w:p>
    <w:p>
      <w:r>
        <w:br w:type="page"/>
      </w:r>
    </w:p>
    <w:p>
      <w:pPr>
        <w:pStyle w:val="Heading2"/>
      </w:pPr>
      <w:r>
        <w:rPr>
          <w:b/>
          <w:sz w:val="32"/>
          <w:szCs w:val="32"/>
          <w:color w:val="2A2440"/>
        </w:rPr>
        <w:t xml:space="preserve">5. Infrastructure economics</w:t>
      </w:r>
    </w:p>
    <w:p>
      <w:pPr>
        <w:pStyle w:val="Heading3"/>
      </w:pPr>
      <w:r>
        <w:rPr>
          <w:b/>
          <w:sz w:val="26"/>
          <w:szCs w:val="26"/>
          <w:color w:val="3B3357"/>
        </w:rPr>
        <w:t xml:space="preserve">Current rates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Item</w:t>
            </w:r>
          </w:p>
        </w:tc>
        <w:tc>
          <w:tcPr>
            <w:tcW w:w="3120" w:type="dxa"/>
            <w:shd w:val="clear" w:fill="F2F2F2"/>
          </w:tcPr>
          <w:p>
            <w:pPr>
              <w:pStyle w:val="TableText"/>
            </w:pPr>
            <w:r>
              <w:rPr>
                <w:b/>
              </w:rPr>
              <w:t xml:space="preserve">Rate</w:t>
            </w:r>
          </w:p>
        </w:tc>
        <w:tc>
          <w:tcPr>
            <w:tcW w:w="3120" w:type="dxa"/>
            <w:shd w:val="clear" w:fill="F2F2F2"/>
          </w:tcPr>
          <w:p>
            <w:pPr>
              <w:pStyle w:val="TableText"/>
            </w:pPr>
            <w:r>
              <w:rPr>
                <w:b/>
              </w:rPr>
              <w:t xml:space="preserve">Source</w:t>
            </w:r>
          </w:p>
        </w:tc>
      </w:tr>
      <w:tr>
        <w:tc>
          <w:tcPr>
            <w:tcW w:w="3120" w:type="dxa"/>
          </w:tcPr>
          <w:p>
            <w:pPr>
              <w:pStyle w:val="TableText"/>
            </w:pPr>
            <w:r>
              <w:t xml:space="preserve">Railway RAM</w:t>
            </w:r>
          </w:p>
        </w:tc>
        <w:tc>
          <w:tcPr>
            <w:tcW w:w="3120" w:type="dxa"/>
          </w:tcPr>
          <w:p>
            <w:pPr>
              <w:pStyle w:val="TableText"/>
            </w:pPr>
            <w:r>
              <w:rPr>
                <w:b/>
              </w:rPr>
              <w:t xml:space="preserve">$10.14</w:t>
            </w:r>
            <w:r>
              <w:t xml:space="preserve"> /GB-month</w:t>
            </w:r>
          </w:p>
        </w:tc>
        <w:tc>
          <w:tcPr>
            <w:tcW w:w="3120" w:type="dxa"/>
          </w:tcPr>
          <w:p>
            <w:pPr>
              <w:pStyle w:val="TableText"/>
            </w:pPr>
            <w:r>
              <w:t xml:space="preserve">derived from $0.00000386/GB/s [sourced]</w:t>
            </w:r>
          </w:p>
        </w:tc>
      </w:tr>
      <w:tr>
        <w:tc>
          <w:tcPr>
            <w:tcW w:w="3120" w:type="dxa"/>
          </w:tcPr>
          <w:p>
            <w:pPr>
              <w:pStyle w:val="TableText"/>
            </w:pPr>
            <w:r>
              <w:t xml:space="preserve">Railway vCPU</w:t>
            </w:r>
          </w:p>
        </w:tc>
        <w:tc>
          <w:tcPr>
            <w:tcW w:w="3120" w:type="dxa"/>
          </w:tcPr>
          <w:p>
            <w:pPr>
              <w:pStyle w:val="TableText"/>
            </w:pPr>
            <w:r>
              <w:rPr>
                <w:b/>
              </w:rPr>
              <w:t xml:space="preserve">$20.29</w:t>
            </w:r>
            <w:r>
              <w:t xml:space="preserve"> /vCPU-month</w:t>
            </w:r>
          </w:p>
        </w:tc>
        <w:tc>
          <w:tcPr>
            <w:tcW w:w="3120" w:type="dxa"/>
          </w:tcPr>
          <w:p>
            <w:pPr>
              <w:pStyle w:val="TableText"/>
            </w:pPr>
            <w:r>
              <w:t xml:space="preserve">derived from $0.00000772/vCPU/s [sourced]</w:t>
            </w:r>
          </w:p>
        </w:tc>
      </w:tr>
      <w:tr>
        <w:tc>
          <w:tcPr>
            <w:tcW w:w="3120" w:type="dxa"/>
          </w:tcPr>
          <w:p>
            <w:pPr>
              <w:pStyle w:val="TableText"/>
            </w:pPr>
            <w:r>
              <w:t xml:space="preserve">Railway volume</w:t>
            </w:r>
          </w:p>
        </w:tc>
        <w:tc>
          <w:tcPr>
            <w:tcW w:w="3120" w:type="dxa"/>
          </w:tcPr>
          <w:p>
            <w:pPr>
              <w:pStyle w:val="TableText"/>
            </w:pPr>
            <w:r>
              <w:rPr>
                <w:b/>
              </w:rPr>
              <w:t xml:space="preserve">$0.158</w:t>
            </w:r>
            <w:r>
              <w:t xml:space="preserve"> /GB-month</w:t>
            </w:r>
          </w:p>
        </w:tc>
        <w:tc>
          <w:tcPr>
            <w:tcW w:w="3120" w:type="dxa"/>
          </w:tcPr>
          <w:p>
            <w:pPr>
              <w:pStyle w:val="TableText"/>
            </w:pPr>
            <w:r>
              <w:t xml:space="preserve">derived from $0.00000006/GB/s [sourced]</w:t>
            </w:r>
          </w:p>
        </w:tc>
      </w:tr>
      <w:tr>
        <w:tc>
          <w:tcPr>
            <w:tcW w:w="3120" w:type="dxa"/>
          </w:tcPr>
          <w:p>
            <w:pPr>
              <w:pStyle w:val="TableText"/>
            </w:pPr>
            <w:r>
              <w:t xml:space="preserve">Railway egress</w:t>
            </w:r>
          </w:p>
        </w:tc>
        <w:tc>
          <w:tcPr>
            <w:tcW w:w="3120" w:type="dxa"/>
          </w:tcPr>
          <w:p>
            <w:pPr>
              <w:pStyle w:val="TableText"/>
            </w:pPr>
            <w:r>
              <w:rPr>
                <w:b/>
              </w:rPr>
              <w:t xml:space="preserve">$0.05</w:t>
            </w:r>
            <w:r>
              <w:t xml:space="preserve"> /GB — i.e. </w:t>
            </w:r>
            <w:r>
              <w:rPr>
                <w:b/>
              </w:rPr>
              <w:t xml:space="preserve">$50/TB</w:t>
            </w:r>
          </w:p>
        </w:tc>
        <w:tc>
          <w:tcPr>
            <w:tcW w:w="3120" w:type="dxa"/>
          </w:tcPr>
          <w:p>
            <w:pPr>
              <w:pStyle w:val="TableText"/>
            </w:pPr>
            <w:r>
              <w:t xml:space="preserve">[sourced]</w:t>
            </w:r>
          </w:p>
        </w:tc>
      </w:tr>
      <w:tr>
        <w:tc>
          <w:tcPr>
            <w:tcW w:w="3120" w:type="dxa"/>
          </w:tcPr>
          <w:p>
            <w:pPr>
              <w:pStyle w:val="TableText"/>
            </w:pPr>
            <w:r>
              <w:t xml:space="preserve">Railway ingress</w:t>
            </w:r>
          </w:p>
        </w:tc>
        <w:tc>
          <w:tcPr>
            <w:tcW w:w="3120" w:type="dxa"/>
          </w:tcPr>
          <w:p>
            <w:pPr>
              <w:pStyle w:val="TableText"/>
            </w:pPr>
            <w:r>
              <w:rPr>
                <w:b/>
              </w:rPr>
              <w:t xml:space="preserve">free</w:t>
            </w:r>
            <w:r>
              <w:t xml:space="preserve"> — presenter uploads cost nothing</w:t>
            </w:r>
          </w:p>
        </w:tc>
        <w:tc>
          <w:tcPr>
            <w:tcW w:w="3120" w:type="dxa"/>
          </w:tcPr>
          <w:p>
            <w:pPr>
              <w:pStyle w:val="TableText"/>
            </w:pPr>
            <w:r>
              <w:t xml:space="preserve">[sourced]</w:t>
            </w:r>
          </w:p>
        </w:tc>
      </w:tr>
      <w:tr>
        <w:tc>
          <w:tcPr>
            <w:tcW w:w="3120" w:type="dxa"/>
          </w:tcPr>
          <w:p>
            <w:pPr>
              <w:pStyle w:val="TableText"/>
            </w:pPr>
            <w:r>
              <w:t xml:space="preserve">Railway object storage</w:t>
            </w:r>
          </w:p>
        </w:tc>
        <w:tc>
          <w:tcPr>
            <w:tcW w:w="3120" w:type="dxa"/>
          </w:tcPr>
          <w:p>
            <w:pPr>
              <w:pStyle w:val="TableText"/>
            </w:pPr>
            <w:r>
              <w:rPr>
                <w:b/>
              </w:rPr>
              <w:t xml:space="preserve">$0.015</w:t>
            </w:r>
            <w:r>
              <w:t xml:space="preserve"> /GB-month, </w:t>
            </w:r>
            <w:r>
              <w:rPr>
                <w:b/>
              </w:rPr>
              <w:t xml:space="preserve">free egress</w:t>
            </w:r>
          </w:p>
        </w:tc>
        <w:tc>
          <w:tcPr>
            <w:tcW w:w="3120" w:type="dxa"/>
          </w:tcPr>
          <w:p>
            <w:pPr>
              <w:pStyle w:val="TableText"/>
            </w:pPr>
            <w:r>
              <w:t xml:space="preserve">[sourced]</w:t>
            </w:r>
          </w:p>
        </w:tc>
      </w:tr>
      <w:tr>
        <w:tc>
          <w:tcPr>
            <w:tcW w:w="3120" w:type="dxa"/>
          </w:tcPr>
          <w:p>
            <w:pPr>
              <w:pStyle w:val="TableText"/>
            </w:pPr>
            <w:r>
              <w:t xml:space="preserve">Cloudflare R2</w:t>
            </w:r>
          </w:p>
        </w:tc>
        <w:tc>
          <w:tcPr>
            <w:tcW w:w="3120" w:type="dxa"/>
          </w:tcPr>
          <w:p>
            <w:pPr>
              <w:pStyle w:val="TableText"/>
            </w:pPr>
            <w:r>
              <w:rPr>
                <w:b/>
              </w:rPr>
              <w:t xml:space="preserve">$0.015</w:t>
            </w:r>
            <w:r>
              <w:t xml:space="preserve"> /GB-month, </w:t>
            </w:r>
            <w:r>
              <w:rPr>
                <w:b/>
              </w:rPr>
              <w:t xml:space="preserve">free egress</w:t>
            </w:r>
            <w:r>
              <w:t xml:space="preserve">, 10 GB free</w:t>
            </w:r>
          </w:p>
        </w:tc>
        <w:tc>
          <w:tcPr>
            <w:tcW w:w="3120" w:type="dxa"/>
          </w:tcPr>
          <w:p>
            <w:pPr>
              <w:pStyle w:val="TableText"/>
            </w:pPr>
            <w:r>
              <w:t xml:space="preserve">[sourced]</w:t>
            </w:r>
          </w:p>
        </w:tc>
      </w:tr>
      <w:tr>
        <w:tc>
          <w:tcPr>
            <w:tcW w:w="3120" w:type="dxa"/>
          </w:tcPr>
          <w:p>
            <w:pPr>
              <w:pStyle w:val="TableText"/>
            </w:pPr>
            <w:r>
              <w:t xml:space="preserve">GitHub</w:t>
            </w:r>
          </w:p>
        </w:tc>
        <w:tc>
          <w:tcPr>
            <w:tcW w:w="3120" w:type="dxa"/>
          </w:tcPr>
          <w:p>
            <w:pPr>
              <w:pStyle w:val="TableText"/>
            </w:pPr>
            <w:r>
              <w:rPr>
                <w:b/>
              </w:rPr>
              <w:t xml:space="preserve">$0</w:t>
            </w:r>
            <w:r>
              <w:t xml:space="preserve"> on Free (unlimited private repos, 2,000 Actions min/mo)</w:t>
            </w:r>
          </w:p>
        </w:tc>
        <w:tc>
          <w:tcPr>
            <w:tcW w:w="3120" w:type="dxa"/>
          </w:tcPr>
          <w:p>
            <w:pPr>
              <w:pStyle w:val="TableText"/>
            </w:pPr>
            <w:r>
              <w:t xml:space="preserve">[sourced]</w:t>
            </w:r>
          </w:p>
        </w:tc>
      </w:tr>
      <w:tr>
        <w:tc>
          <w:tcPr>
            <w:tcW w:w="3120" w:type="dxa"/>
          </w:tcPr>
          <w:p>
            <w:pPr>
              <w:pStyle w:val="TableText"/>
            </w:pPr>
            <w:r>
              <w:t xml:space="preserve">Stripe</w:t>
            </w:r>
          </w:p>
        </w:tc>
        <w:tc>
          <w:tcPr>
            <w:tcW w:w="3120" w:type="dxa"/>
          </w:tcPr>
          <w:p>
            <w:pPr>
              <w:pStyle w:val="TableText"/>
            </w:pPr>
            <w:r>
              <w:t xml:space="preserve">2.9% + $0.30</w:t>
            </w:r>
          </w:p>
        </w:tc>
        <w:tc>
          <w:tcPr>
            <w:tcW w:w="3120" w:type="dxa"/>
          </w:tcPr>
          <w:p>
            <w:pPr>
              <w:pStyle w:val="TableText"/>
            </w:pPr>
            <w:r>
              <w:t xml:space="preserve">standard</w:t>
            </w:r>
          </w:p>
        </w:tc>
      </w:tr>
    </w:tbl>
    <w:p>
      <w:pPr>
        <w:pStyle w:val="Spacer"/>
      </w:pPr>
      <w:r>
        <w:t xml:space="preserve"/>
      </w:r>
    </w:p>
    <w:p>
      <w:pPr/>
      <w:r>
        <w:t xml:space="preserve">GitHub is free at this size and stays under $50/month even with a small team at $4/user. It is not a cost driver and is not modelled further.</w:t>
      </w:r>
    </w:p>
    <w:p>
      <w:pPr/>
      <w:r>
        <w:t xml:space="preserve">Two details about egress that change how the rate should be read. </w:t>
      </w:r>
      <w:r>
        <w:rPr>
          <w:b/>
        </w:rPr>
        <w:t xml:space="preserve">Only outbound traffic is charged</w:t>
      </w:r>
      <w:r>
        <w:t xml:space="preserve">, so the presenter's upload into the relay is free and only the relay's delivery out to each screen costs anything. And there is </w:t>
      </w:r>
      <w:r>
        <w:rPr>
          <w:b/>
        </w:rPr>
        <w:t xml:space="preserve">no free egress allowance</w:t>
      </w:r>
      <w:r>
        <w:t xml:space="preserve"> on any plan — the $5 Hobby and $20 Pro credits are general resource credits that egress simply eats into alongside RAM and CPU.</w:t>
      </w:r>
    </w:p>
    <w:p>
      <w:pPr>
        <w:pStyle w:val="Heading3"/>
      </w:pPr>
      <w:r>
        <w:rPr>
          <w:b/>
          <w:sz w:val="26"/>
          <w:szCs w:val="26"/>
          <w:color w:val="3B3357"/>
        </w:rPr>
        <w:t xml:space="preserve">What a show actually costs</w:t>
      </w:r>
    </w:p>
    <w:p>
      <w:pPr/>
      <w:r>
        <w:t xml:space="preserve">The wire format is capped at 2560px, JPEG q0.9 [measured — see the README]. A photograph at that setting is modelled at </w:t>
      </w:r>
      <w:r>
        <w:rPr>
          <w:b/>
        </w:rPr>
        <w:t xml:space="preserve">350 KB</w:t>
      </w:r>
      <w:r>
        <w:t xml:space="preserve"> [assumed]; a real measurement of 12 photographs at a more aggressive setting (2048px WebP q82) gave a </w:t>
      </w:r>
      <w:r>
        <w:rPr>
          <w:b/>
        </w:rPr>
        <w:t xml:space="preserve">145 KB median</w:t>
      </w:r>
      <w:r>
        <w:t xml:space="preserve"> [measured], so 350 KB is a deliberately cautious figure.</w:t>
      </w:r>
    </w:p>
    <w:p>
      <w:pPr/>
      <w:r>
        <w:t xml:space="preserve">For a 40-slide show on 4 screens, each screen taking one copy:</w:t>
      </w:r>
    </w:p>
    <w:p>
      <w:pPr>
        <w:pStyle w:val="ListBullet"/>
        <w:numPr>
          <w:ilvl w:val="0"/>
          <w:numId w:val="1"/>
        </w:numPr>
      </w:pPr>
      <w:r>
        <w:rPr>
          <w:b/>
        </w:rPr>
        <w:t xml:space="preserve">54.7 MB</w:t>
      </w:r>
      <w:r>
        <w:t xml:space="preserve"> of egress per show → </w:t>
      </w:r>
      <w:r>
        <w:rPr>
          <w:b/>
        </w:rPr>
        <w:t xml:space="preserve">$0.0027</w:t>
      </w:r>
    </w:p>
    <w:p>
      <w:pPr>
        <w:pStyle w:val="ListBullet"/>
        <w:numPr>
          <w:ilvl w:val="0"/>
          <w:numId w:val="1"/>
        </w:numPr>
      </w:pPr>
      <w:r>
        <w:t xml:space="preserve">Server bookkeeping: </w:t>
      </w:r>
      <w:r>
        <w:rPr>
          <w:b/>
        </w:rPr>
        <w:t xml:space="preserve">~2.9 KB per show</w:t>
      </w:r>
      <w:r>
        <w:t xml:space="preserve"> [measured], held for the show's life</w:t>
      </w:r>
    </w:p>
    <w:p>
      <w:pPr>
        <w:pStyle w:val="ListBullet"/>
        <w:numPr>
          <w:ilvl w:val="0"/>
          <w:numId w:val="1"/>
        </w:numPr>
      </w:pPr>
      <w:r>
        <w:t xml:space="preserve">Relay photo cache: 6 frames, dropped after 5 minutes idle [measured]</w:t>
      </w:r>
    </w:p>
    <w:p>
      <w:pPr/>
      <w:r>
        <w:t xml:space="preserve">Six ad impressions at $2.50 RPM earn </w:t>
      </w:r>
      <w:r>
        <w:rPr>
          <w:b/>
        </w:rPr>
        <w:t xml:space="preserve">$0.015</w:t>
      </w:r>
      <w:r>
        <w:t xml:space="preserve"> per show. So a cached show earns about </w:t>
      </w:r>
      <w:r>
        <w:rPr>
          <w:b/>
        </w:rPr>
        <w:t xml:space="preserve">5× what it costs to serve</w:t>
      </w:r>
      <w:r>
        <w:t xml:space="preserve">. The free tier works.</w:t>
      </w:r>
    </w:p>
    <w:p>
      <w:pPr>
        <w:pStyle w:val="Heading3"/>
      </w:pPr>
      <w:r>
        <w:rPr>
          <w:b/>
          <w:sz w:val="26"/>
          <w:szCs w:val="26"/>
          <w:color w:val="3B3357"/>
        </w:rPr>
        <w:t xml:space="preserve">When egress becomes worth acting on</w:t>
      </w:r>
    </w:p>
    <w:p>
      <w:pPr/>
      <w:r>
        <w:t xml:space="preserve">The reassuring part first: with each slide fetched once, </w:t>
      </w:r>
      <w:r>
        <w:rPr>
          <w:b/>
        </w:rPr>
        <w:t xml:space="preserve">egress is a fixed share of revenue rather than a growing one</w:t>
      </w:r>
      <w:r>
        <w:t xml:space="preserve">, because both scale with the number of screens. It sits at </w:t>
      </w:r>
      <w:r>
        <w:rPr>
          <w:b/>
        </w:rPr>
        <w:t xml:space="preserve">18% of what a show earns in advertising</w:t>
      </w:r>
      <w:r>
        <w:t xml:space="preserve"> and stays there. Egress does not structurally </w:t>
      </w:r>
      <w:r>
        <w:rPr>
          <w:i/>
        </w:rPr>
        <w:t xml:space="preserve">become</w:t>
      </w:r>
      <w:r>
        <w:t xml:space="preserve"> a problem; only its absolute size grows.</w:t>
      </w:r>
    </w:p>
    <w:p>
      <w:pPr/>
      <w:r>
        <w:t xml:space="preserve">So the thresholds below are cash-flow milestones, not cliffs: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Egress bill</w:t>
            </w:r>
          </w:p>
        </w:tc>
        <w:tc>
          <w:tcPr>
            <w:tcW w:w="2340" w:type="dxa"/>
            <w:shd w:val="clear" w:fill="F2F2F2"/>
          </w:tcPr>
          <w:p>
            <w:pPr>
              <w:pStyle w:val="TableText"/>
            </w:pPr>
            <w:r>
              <w:rPr>
                <w:b/>
              </w:rPr>
              <w:t xml:space="preserve">Traffic</w:t>
            </w:r>
          </w:p>
        </w:tc>
        <w:tc>
          <w:tcPr>
            <w:tcW w:w="2340" w:type="dxa"/>
            <w:shd w:val="clear" w:fill="F2F2F2"/>
          </w:tcPr>
          <w:p>
            <w:pPr>
              <w:pStyle w:val="TableText"/>
            </w:pPr>
            <w:r>
              <w:rPr>
                <w:b/>
              </w:rPr>
              <w:t xml:space="preserve">Shows/month</w:t>
            </w:r>
          </w:p>
        </w:tc>
        <w:tc>
          <w:tcPr>
            <w:tcW w:w="2340" w:type="dxa"/>
            <w:shd w:val="clear" w:fill="F2F2F2"/>
          </w:tcPr>
          <w:p>
            <w:pPr>
              <w:pStyle w:val="TableText"/>
            </w:pPr>
            <w:r>
              <w:rPr>
                <w:b/>
              </w:rPr>
              <w:t xml:space="preserve">Presenters</w:t>
            </w:r>
          </w:p>
        </w:tc>
      </w:tr>
      <w:tr>
        <w:tc>
          <w:tcPr>
            <w:tcW w:w="2340" w:type="dxa"/>
          </w:tcPr>
          <w:p>
            <w:pPr>
              <w:pStyle w:val="TableText"/>
            </w:pPr>
            <w:r>
              <w:t xml:space="preserve">$5 — consumes the whole Hobby credit</w:t>
            </w:r>
          </w:p>
        </w:tc>
        <w:tc>
          <w:tcPr>
            <w:tcW w:w="2340" w:type="dxa"/>
          </w:tcPr>
          <w:p>
            <w:pPr>
              <w:pStyle w:val="TableText"/>
            </w:pPr>
            <w:r>
              <w:t xml:space="preserve">100 GB</w:t>
            </w:r>
          </w:p>
        </w:tc>
        <w:tc>
          <w:tcPr>
            <w:tcW w:w="2340" w:type="dxa"/>
          </w:tcPr>
          <w:p>
            <w:pPr>
              <w:pStyle w:val="TableText"/>
            </w:pPr>
            <w:r>
              <w:t xml:space="preserve">~1,900</w:t>
            </w:r>
          </w:p>
        </w:tc>
        <w:tc>
          <w:tcPr>
            <w:tcW w:w="2340" w:type="dxa"/>
          </w:tcPr>
          <w:p>
            <w:pPr>
              <w:pStyle w:val="TableText"/>
            </w:pPr>
            <w:r>
              <w:t xml:space="preserve">~940</w:t>
            </w:r>
          </w:p>
        </w:tc>
      </w:tr>
      <w:tr>
        <w:tc>
          <w:tcPr>
            <w:tcW w:w="2340" w:type="dxa"/>
          </w:tcPr>
          <w:p>
            <w:pPr>
              <w:pStyle w:val="TableText"/>
            </w:pPr>
            <w:r>
              <w:t xml:space="preserve">$20 — consumes the whole Pro credit</w:t>
            </w:r>
          </w:p>
        </w:tc>
        <w:tc>
          <w:tcPr>
            <w:tcW w:w="2340" w:type="dxa"/>
          </w:tcPr>
          <w:p>
            <w:pPr>
              <w:pStyle w:val="TableText"/>
            </w:pPr>
            <w:r>
              <w:t xml:space="preserve">400 GB</w:t>
            </w:r>
          </w:p>
        </w:tc>
        <w:tc>
          <w:tcPr>
            <w:tcW w:w="2340" w:type="dxa"/>
          </w:tcPr>
          <w:p>
            <w:pPr>
              <w:pStyle w:val="TableText"/>
            </w:pPr>
            <w:r>
              <w:t xml:space="preserve">~7,500</w:t>
            </w:r>
          </w:p>
        </w:tc>
        <w:tc>
          <w:tcPr>
            <w:tcW w:w="2340" w:type="dxa"/>
          </w:tcPr>
          <w:p>
            <w:pPr>
              <w:pStyle w:val="TableText"/>
            </w:pPr>
            <w:r>
              <w:t xml:space="preserve">~3,700</w:t>
            </w:r>
          </w:p>
        </w:tc>
      </w:tr>
      <w:tr>
        <w:tc>
          <w:tcPr>
            <w:tcW w:w="2340" w:type="dxa"/>
          </w:tcPr>
          <w:p>
            <w:pPr>
              <w:pStyle w:val="TableText"/>
            </w:pPr>
            <w:r>
              <w:t xml:space="preserve">$25 — matches a small compute bill</w:t>
            </w:r>
          </w:p>
        </w:tc>
        <w:tc>
          <w:tcPr>
            <w:tcW w:w="2340" w:type="dxa"/>
          </w:tcPr>
          <w:p>
            <w:pPr>
              <w:pStyle w:val="TableText"/>
            </w:pPr>
            <w:r>
              <w:t xml:space="preserve">500 GB</w:t>
            </w:r>
          </w:p>
        </w:tc>
        <w:tc>
          <w:tcPr>
            <w:tcW w:w="2340" w:type="dxa"/>
          </w:tcPr>
          <w:p>
            <w:pPr>
              <w:pStyle w:val="TableText"/>
            </w:pPr>
            <w:r>
              <w:t xml:space="preserve">~9,400</w:t>
            </w:r>
          </w:p>
        </w:tc>
        <w:tc>
          <w:tcPr>
            <w:tcW w:w="2340" w:type="dxa"/>
          </w:tcPr>
          <w:p>
            <w:pPr>
              <w:pStyle w:val="TableText"/>
            </w:pPr>
            <w:r>
              <w:t xml:space="preserve">~4,700</w:t>
            </w:r>
          </w:p>
        </w:tc>
      </w:tr>
      <w:tr>
        <w:tc>
          <w:tcPr>
            <w:tcW w:w="2340" w:type="dxa"/>
          </w:tcPr>
          <w:p>
            <w:pPr>
              <w:pStyle w:val="TableText"/>
            </w:pPr>
            <w:r>
              <w:t xml:space="preserve">$100</w:t>
            </w:r>
          </w:p>
        </w:tc>
        <w:tc>
          <w:tcPr>
            <w:tcW w:w="2340" w:type="dxa"/>
          </w:tcPr>
          <w:p>
            <w:pPr>
              <w:pStyle w:val="TableText"/>
            </w:pPr>
            <w:r>
              <w:t xml:space="preserve">2 TB</w:t>
            </w:r>
          </w:p>
        </w:tc>
        <w:tc>
          <w:tcPr>
            <w:tcW w:w="2340" w:type="dxa"/>
          </w:tcPr>
          <w:p>
            <w:pPr>
              <w:pStyle w:val="TableText"/>
            </w:pPr>
            <w:r>
              <w:t xml:space="preserve">~37,000</w:t>
            </w:r>
          </w:p>
        </w:tc>
        <w:tc>
          <w:tcPr>
            <w:tcW w:w="2340" w:type="dxa"/>
          </w:tcPr>
          <w:p>
            <w:pPr>
              <w:pStyle w:val="TableText"/>
            </w:pPr>
            <w:r>
              <w:t xml:space="preserve">~19,000</w:t>
            </w:r>
          </w:p>
        </w:tc>
      </w:tr>
      <w:tr>
        <w:tc>
          <w:tcPr>
            <w:tcW w:w="2340" w:type="dxa"/>
          </w:tcPr>
          <w:p>
            <w:pPr>
              <w:pStyle w:val="TableText"/>
            </w:pPr>
            <w:r>
              <w:t xml:space="preserve">$500</w:t>
            </w:r>
          </w:p>
        </w:tc>
        <w:tc>
          <w:tcPr>
            <w:tcW w:w="2340" w:type="dxa"/>
          </w:tcPr>
          <w:p>
            <w:pPr>
              <w:pStyle w:val="TableText"/>
            </w:pPr>
            <w:r>
              <w:t xml:space="preserve">10 TB</w:t>
            </w:r>
          </w:p>
        </w:tc>
        <w:tc>
          <w:tcPr>
            <w:tcW w:w="2340" w:type="dxa"/>
          </w:tcPr>
          <w:p>
            <w:pPr>
              <w:pStyle w:val="TableText"/>
            </w:pPr>
            <w:r>
              <w:t xml:space="preserve">~187,000</w:t>
            </w:r>
          </w:p>
        </w:tc>
        <w:tc>
          <w:tcPr>
            <w:tcW w:w="2340" w:type="dxa"/>
          </w:tcPr>
          <w:p>
            <w:pPr>
              <w:pStyle w:val="TableText"/>
            </w:pPr>
            <w:r>
              <w:t xml:space="preserve">~94,000</w:t>
            </w:r>
          </w:p>
        </w:tc>
      </w:tr>
      <w:tr>
        <w:tc>
          <w:tcPr>
            <w:tcW w:w="2340" w:type="dxa"/>
          </w:tcPr>
          <w:p>
            <w:pPr>
              <w:pStyle w:val="TableText"/>
            </w:pPr>
            <w:r>
              <w:t xml:space="preserve">$1,000</w:t>
            </w:r>
          </w:p>
        </w:tc>
        <w:tc>
          <w:tcPr>
            <w:tcW w:w="2340" w:type="dxa"/>
          </w:tcPr>
          <w:p>
            <w:pPr>
              <w:pStyle w:val="TableText"/>
            </w:pPr>
            <w:r>
              <w:t xml:space="preserve">20 TB</w:t>
            </w:r>
          </w:p>
        </w:tc>
        <w:tc>
          <w:tcPr>
            <w:tcW w:w="2340" w:type="dxa"/>
          </w:tcPr>
          <w:p>
            <w:pPr>
              <w:pStyle w:val="TableText"/>
            </w:pPr>
            <w:r>
              <w:t xml:space="preserve">~374,000</w:t>
            </w:r>
          </w:p>
        </w:tc>
        <w:tc>
          <w:tcPr>
            <w:tcW w:w="2340" w:type="dxa"/>
          </w:tcPr>
          <w:p>
            <w:pPr>
              <w:pStyle w:val="TableText"/>
            </w:pPr>
            <w:r>
              <w:t xml:space="preserve">~187,000</w:t>
            </w:r>
          </w:p>
        </w:tc>
      </w:tr>
    </w:tbl>
    <w:p>
      <w:pPr>
        <w:pStyle w:val="Spacer"/>
      </w:pPr>
      <w:r>
        <w:t xml:space="preserve"/>
      </w:r>
    </w:p>
    <w:p>
      <w:pPr>
        <w:pStyle w:val="Heading4"/>
      </w:pPr>
      <w:r>
        <w:rPr>
          <w:b/>
          <w:i/>
          <w:sz w:val="23"/>
          <w:szCs w:val="23"/>
        </w:rPr>
        <w:t xml:space="preserve">The threshold that is a cliff</w:t>
      </w:r>
    </w:p>
    <w:p>
      <w:pPr/>
      <w:r>
        <w:t xml:space="preserve">It is not a scale at all — it is whether the viewer-page ad works. If networks decline the television placement, which §3 says to expect, revenue falls to the presenter's two impressions while egress still scales with every screen:</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Revenue per show</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Egress as a share</w:t>
            </w:r>
          </w:p>
        </w:tc>
      </w:tr>
      <w:tr>
        <w:tc>
          <w:tcPr>
            <w:tcW w:w="2340" w:type="dxa"/>
          </w:tcPr>
          <w:p>
            <w:pPr>
              <w:pStyle w:val="TableText"/>
            </w:pPr>
            <w:r>
              <w:t xml:space="preserve">Viewer-page ads running</w:t>
            </w:r>
          </w:p>
        </w:tc>
        <w:tc>
          <w:tcPr>
            <w:tcW w:w="2340" w:type="dxa"/>
          </w:tcPr>
          <w:p>
            <w:pPr>
              <w:pStyle w:val="TableText"/>
            </w:pPr>
            <w:r>
              <w:t xml:space="preserve">$0.0150</w:t>
            </w:r>
          </w:p>
        </w:tc>
        <w:tc>
          <w:tcPr>
            <w:tcW w:w="2340" w:type="dxa"/>
          </w:tcPr>
          <w:p>
            <w:pPr>
              <w:pStyle w:val="TableText"/>
            </w:pPr>
            <w:r>
              <w:t xml:space="preserve">$0.0027</w:t>
            </w:r>
          </w:p>
        </w:tc>
        <w:tc>
          <w:tcPr>
            <w:tcW w:w="2340" w:type="dxa"/>
          </w:tcPr>
          <w:p>
            <w:pPr>
              <w:pStyle w:val="TableText"/>
            </w:pPr>
            <w:r>
              <w:t xml:space="preserve">18%</w:t>
            </w:r>
          </w:p>
        </w:tc>
      </w:tr>
      <w:tr>
        <w:tc>
          <w:tcPr>
            <w:tcW w:w="2340" w:type="dxa"/>
          </w:tcPr>
          <w:p>
            <w:pPr>
              <w:pStyle w:val="TableText"/>
            </w:pPr>
            <w:r>
              <w:t xml:space="preserve">Viewer-page ads declined</w:t>
            </w:r>
          </w:p>
        </w:tc>
        <w:tc>
          <w:tcPr>
            <w:tcW w:w="2340" w:type="dxa"/>
          </w:tcPr>
          <w:p>
            <w:pPr>
              <w:pStyle w:val="TableText"/>
            </w:pPr>
            <w:r>
              <w:t xml:space="preserve">$0.0050</w:t>
            </w:r>
          </w:p>
        </w:tc>
        <w:tc>
          <w:tcPr>
            <w:tcW w:w="2340" w:type="dxa"/>
          </w:tcPr>
          <w:p>
            <w:pPr>
              <w:pStyle w:val="TableText"/>
            </w:pPr>
            <w:r>
              <w:t xml:space="preserve">$0.0027</w:t>
            </w:r>
          </w:p>
        </w:tc>
        <w:tc>
          <w:tcPr>
            <w:tcW w:w="2340" w:type="dxa"/>
          </w:tcPr>
          <w:p>
            <w:pPr>
              <w:pStyle w:val="TableText"/>
            </w:pPr>
            <w:r>
              <w:rPr>
                <w:b/>
              </w:rPr>
              <w:t xml:space="preserve">53%</w:t>
            </w:r>
          </w:p>
        </w:tc>
      </w:tr>
    </w:tbl>
    <w:p>
      <w:pPr>
        <w:pStyle w:val="Spacer"/>
      </w:pPr>
      <w:r>
        <w:t xml:space="preserve"/>
      </w:r>
    </w:p>
    <w:p>
      <w:pPr/>
      <w:r>
        <w:t xml:space="preserve">And in that case </w:t>
      </w:r>
      <w:r>
        <w:rPr>
          <w:b/>
        </w:rPr>
        <w:t xml:space="preserve">a show stops paying for itself above about 7.5 screens</w:t>
      </w:r>
      <w:r>
        <w:t xml:space="preserve"> — the better the product does at its own core promise of unlimited screens, the worse each show performs. This arrives at any scale, on day one, and it is the reason the viewer placement should be measured separately from the other two rather than assumed into the blended figure.</w:t>
      </w:r>
    </w:p>
    <w:p>
      <w:pPr>
        <w:pStyle w:val="Heading4"/>
      </w:pPr>
      <w:r>
        <w:rPr>
          <w:b/>
          <w:i/>
          <w:sz w:val="23"/>
          <w:szCs w:val="23"/>
        </w:rPr>
        <w:t xml:space="preserve">The levers, in the order worth pulling</w:t>
      </w:r>
    </w:p>
    <w:p>
      <w:pPr>
        <w:pStyle w:val="ListNumber"/>
        <w:numPr>
          <w:ilvl w:val="0"/>
          <w:numId w:val="2"/>
        </w:numPr>
      </w:pPr>
      <w:r>
        <w:rPr>
          <w:b/>
        </w:rPr>
        <w:t xml:space="preserve">Send fewer bytes.</w:t>
      </w:r>
      <w:r>
        <w:t xml:space="preserve"> No migration and no new vendor. The wire is currently 2560px JPEG q0.9 (~350 KB a slide); the 2048px WebP q82 setting measured at a </w:t>
      </w:r>
      <w:r>
        <w:rPr>
          <w:b/>
        </w:rPr>
        <w:t xml:space="preserve">145 KB median</w:t>
      </w:r>
      <w:r>
        <w:t xml:space="preserve"> [measured] would cut </w:t>
      </w:r>
      <w:r>
        <w:rPr>
          <w:b/>
        </w:rPr>
        <w:t xml:space="preserve">59% off every byte at every scale</w:t>
      </w:r>
      <w:r>
        <w:t xml:space="preserve"> — $1,335/month becomes $553. The cost is some quality on a large television, which is a judgement call rather than a technical one.</w:t>
      </w:r>
    </w:p>
    <w:p>
      <w:pPr>
        <w:pStyle w:val="ListNumber"/>
        <w:numPr>
          <w:ilvl w:val="0"/>
          <w:numId w:val="2"/>
        </w:numPr>
      </w:pPr>
      <w:r>
        <w:rPr>
          <w:b/>
        </w:rPr>
        <w:t xml:space="preserve">Serve stored and premium shows from object storage.</w:t>
      </w:r>
      <w:r>
        <w:t xml:space="preserve"> Railway's own is $0.015/GB-month with </w:t>
      </w:r>
      <w:r>
        <w:rPr>
          <w:b/>
        </w:rPr>
        <w:t xml:space="preserve">free egress</w:t>
      </w:r>
      <w:r>
        <w:t xml:space="preserve">, so this is free from the first day and has no threshold to wait for. It is also Finding 2 restated: premium traffic need never touch the metered path.</w:t>
      </w:r>
    </w:p>
    <w:p>
      <w:pPr>
        <w:pStyle w:val="ListNumber"/>
        <w:numPr>
          <w:ilvl w:val="0"/>
          <w:numId w:val="2"/>
        </w:numPr>
      </w:pPr>
      <w:r>
        <w:rPr>
          <w:b/>
        </w:rPr>
        <w:t xml:space="preserve">Move the relay to a host with included bandwidth.</w:t>
      </w:r>
      <w:r>
        <w:t xml:space="preserve"> Railway is </w:t>
      </w:r>
      <w:r>
        <w:rPr>
          <w:b/>
        </w:rPr>
        <w:t xml:space="preserve">$50/TB</w:t>
      </w:r>
      <w:r>
        <w:t xml:space="preserve">; a Hetzner-class VPS includes 20 TB and then charges </w:t>
      </w:r>
      <w:r>
        <w:rPr>
          <w:b/>
        </w:rPr>
        <w:t xml:space="preserve">$1/TB</w:t>
      </w:r>
      <w:r>
        <w:t xml:space="preserve"> [sourced] — 50× on marginal bytes. The gap reaches roughly $100/month at about </w:t>
      </w:r>
      <w:r>
        <w:rPr>
          <w:b/>
        </w:rPr>
        <w:t xml:space="preserve">40,000 shows/month</w:t>
      </w:r>
      <w:r>
        <w:t xml:space="preserve">, which is where a day of migration pays back within a quarter. Below that the saving does not cover losing managed Postgres, deploys and health checks.</w:t>
      </w:r>
    </w:p>
    <w:p>
      <w:pPr>
        <w:pStyle w:val="Heading4"/>
      </w:pPr>
      <w:r>
        <w:rPr>
          <w:b/>
          <w:i/>
          <w:sz w:val="23"/>
          <w:szCs w:val="23"/>
        </w:rPr>
        <w:t xml:space="preserve">What would invalidate all of this</w:t>
      </w:r>
    </w:p>
    <w:p>
      <w:pPr/>
      <w:r>
        <w:rPr>
          <w:b/>
        </w:rPr>
        <w:t xml:space="preserve">Video.</w:t>
      </w:r>
      <w:r>
        <w:t xml:space="preserve"> Every figure here assumes photographs. Video is one to two orders of magnitude more bytes and brings </w:t>
      </w:r>
      <w:r>
        <w:rPr>
          <w:b/>
        </w:rPr>
        <w:t xml:space="preserve">no additional ad impressions</w:t>
      </w:r>
      <w:r>
        <w:t xml:space="preserve"> with it, which would move egress from a fixed 18% of revenue to the dominant cost of the business. The competitive analysis lists video as a parity gap worth closing; if it is closed, this section has to be rewritten before it ships, not after.</w:t>
      </w:r>
    </w:p>
    <w:p>
      <w:pPr>
        <w:pStyle w:val="Heading3"/>
      </w:pPr>
      <w:r>
        <w:rPr>
          <w:b/>
          <w:sz w:val="26"/>
          <w:szCs w:val="26"/>
          <w:color w:val="3B3357"/>
        </w:rPr>
        <w:t xml:space="preserve">Stripe eats low-priced monthly subscriptions</w:t>
      </w:r>
    </w:p>
    <w:p>
      <w:pPr/>
      <w:r>
        <w:t xml:space="preserve">$3.99/month loses </w:t>
      </w:r>
      <w:r>
        <w:rPr>
          <w:b/>
        </w:rPr>
        <w:t xml:space="preserve">10.4%</w:t>
      </w:r>
      <w:r>
        <w:t xml:space="preserve"> to Stripe. The same revenue billed annually at $29 loses </w:t>
      </w:r>
      <w:r>
        <w:rPr>
          <w:b/>
        </w:rPr>
        <w:t xml:space="preserve">3.9%</w:t>
      </w:r>
      <w:r>
        <w:t xml:space="preserve">. Annual billing should be the default offer and the discount should be generous, because it is nearly free to give.</w:t>
      </w:r>
    </w:p>
    <w:p>
      <w:r>
        <w:br w:type="page"/>
      </w:r>
    </w:p>
    <w:p>
      <w:pPr>
        <w:pStyle w:val="Heading2"/>
      </w:pPr>
      <w:r>
        <w:rPr>
          <w:b/>
          <w:sz w:val="32"/>
          <w:szCs w:val="32"/>
          <w:color w:val="2A2440"/>
        </w:rPr>
        <w:t xml:space="preserve">6. The two findings that decide the business</w:t>
      </w:r>
    </w:p>
    <w:p>
      <w:pPr>
        <w:pStyle w:val="Heading3"/>
      </w:pPr>
      <w:r>
        <w:rPr>
          <w:b/>
          <w:sz w:val="26"/>
          <w:szCs w:val="26"/>
          <w:color w:val="3B3357"/>
        </w:rPr>
        <w:t xml:space="preserve">Finding 1 — live mode's cost scaled with time, not content</w:t>
      </w:r>
    </w:p>
    <w:p>
      <w:pPr/>
      <w:r>
        <w:rPr>
          <w:b/>
        </w:rPr>
        <w:t xml:space="preserve">Fixed since this plan was written.</w:t>
      </w:r>
      <w:r>
        <w:t xml:space="preserve"> A viewing screen now keeps decoded slides to a 100 MB budget, measured at 12 network requests for 36 slide-views on a twelve-photo loop — each photo fetched exactly once. The analysis below is kept because it is what the numbers in §7 rest on, and because the shape of the mistake is worth remembering.</w:t>
      </w:r>
    </w:p>
    <w:p>
      <w:pPr/>
      <w:r>
        <w:t xml:space="preserve">A viewer kept only six slides in memory in live mode [previously </w:t>
      </w:r>
      <w:r>
        <w:rPr>
          <w:rFonts w:ascii="Consolas" w:hAnsi="Consolas"/>
          <w:sz w:val="18"/>
        </w:rPr>
        <w:t xml:space="preserve">MAX_CACHED = 6</w:t>
      </w:r>
      <w:r>
        <w:t xml:space="preserve"> in </w:t>
      </w:r>
      <w:r>
        <w:rPr>
          <w:rFonts w:ascii="Consolas" w:hAnsi="Consolas"/>
          <w:sz w:val="18"/>
        </w:rPr>
        <w:t xml:space="preserve">public/watch.js</w:t>
      </w:r>
      <w:r>
        <w:t xml:space="preserve">]. Once a show looped past those six, nearly every advance is a fresh fetch through the relay — so </w:t>
      </w:r>
      <w:r>
        <w:rPr>
          <w:b/>
        </w:rPr>
        <w:t xml:space="preserve">cost scales with how long a show runs, not with how much content it holds.</w:t>
      </w:r>
    </w:p>
    <w:p>
      <w:pPr/>
      <w:r>
        <w:t xml:space="preserve">That is the wrong shape. A slideshow left on a television all evening is the use case the landing page leads with, and it is precisely the one this punishes.</w:t>
      </w:r>
    </w:p>
    <w:p>
      <w:pPr/>
      <w:r>
        <w:rPr>
          <w:b/>
        </w:rPr>
        <w:t xml:space="preserve">Break-even is 19 minutes.</w:t>
      </w:r>
      <w:r>
        <w:t xml:space="preserve"> A show earns $0.015 in advertising and costs about </w:t>
      </w:r>
      <w:r>
        <w:rPr>
          <w:b/>
        </w:rPr>
        <w:t xml:space="preserve">$0.048 per show-hour</w:t>
      </w:r>
      <w:r>
        <w:t xml:space="preserve"> to serve at four screens: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fill="F2F2F2"/>
          </w:tcPr>
          <w:p>
            <w:pPr>
              <w:pStyle w:val="TableText"/>
            </w:pPr>
            <w:r>
              <w:rPr>
                <w:b/>
              </w:rPr>
              <w:t xml:space="preserve">Show length</w:t>
            </w:r>
          </w:p>
        </w:tc>
        <w:tc>
          <w:tcPr>
            <w:tcW w:w="1872" w:type="dxa"/>
            <w:shd w:val="clear" w:fill="F2F2F2"/>
          </w:tcPr>
          <w:p>
            <w:pPr>
              <w:pStyle w:val="TableText"/>
            </w:pPr>
            <w:r>
              <w:rPr>
                <w:b/>
              </w:rPr>
              <w:t xml:space="preserve">Egress</w:t>
            </w:r>
          </w:p>
        </w:tc>
        <w:tc>
          <w:tcPr>
            <w:tcW w:w="1872" w:type="dxa"/>
            <w:shd w:val="clear" w:fill="F2F2F2"/>
          </w:tcPr>
          <w:p>
            <w:pPr>
              <w:pStyle w:val="TableText"/>
            </w:pPr>
            <w:r>
              <w:rPr>
                <w:b/>
              </w:rPr>
              <w:t xml:space="preserve">Egress cost</w:t>
            </w:r>
          </w:p>
        </w:tc>
        <w:tc>
          <w:tcPr>
            <w:tcW w:w="1872" w:type="dxa"/>
            <w:shd w:val="clear" w:fill="F2F2F2"/>
          </w:tcPr>
          <w:p>
            <w:pPr>
              <w:pStyle w:val="TableText"/>
            </w:pPr>
            <w:r>
              <w:rPr>
                <w:b/>
              </w:rPr>
              <w:t xml:space="preserve">Ad revenue</w:t>
            </w:r>
          </w:p>
        </w:tc>
        <w:tc>
          <w:tcPr>
            <w:tcW w:w="1872" w:type="dxa"/>
            <w:shd w:val="clear" w:fill="F2F2F2"/>
          </w:tcPr>
          <w:p>
            <w:pPr>
              <w:pStyle w:val="TableText"/>
            </w:pPr>
            <w:r>
              <w:rPr>
                <w:b/>
              </w:rPr>
              <w:t xml:space="preserve">Net</w:t>
            </w:r>
          </w:p>
        </w:tc>
      </w:tr>
      <w:tr>
        <w:tc>
          <w:tcPr>
            <w:tcW w:w="1872" w:type="dxa"/>
          </w:tcPr>
          <w:p>
            <w:pPr>
              <w:pStyle w:val="TableText"/>
            </w:pPr>
            <w:r>
              <w:t xml:space="preserve">10 minutes</w:t>
            </w:r>
          </w:p>
        </w:tc>
        <w:tc>
          <w:tcPr>
            <w:tcW w:w="1872" w:type="dxa"/>
          </w:tcPr>
          <w:p>
            <w:pPr>
              <w:pStyle w:val="TableText"/>
            </w:pPr>
            <w:r>
              <w:t xml:space="preserve">156 MB</w:t>
            </w:r>
          </w:p>
        </w:tc>
        <w:tc>
          <w:tcPr>
            <w:tcW w:w="1872" w:type="dxa"/>
          </w:tcPr>
          <w:p>
            <w:pPr>
              <w:pStyle w:val="TableText"/>
            </w:pPr>
            <w:r>
              <w:t xml:space="preserve">$0.0076</w:t>
            </w:r>
          </w:p>
        </w:tc>
        <w:tc>
          <w:tcPr>
            <w:tcW w:w="1872" w:type="dxa"/>
          </w:tcPr>
          <w:p>
            <w:pPr>
              <w:pStyle w:val="TableText"/>
            </w:pPr>
            <w:r>
              <w:t xml:space="preserve">$0.0150</w:t>
            </w:r>
          </w:p>
        </w:tc>
        <w:tc>
          <w:tcPr>
            <w:tcW w:w="1872" w:type="dxa"/>
          </w:tcPr>
          <w:p>
            <w:pPr>
              <w:pStyle w:val="TableText"/>
            </w:pPr>
            <w:r>
              <w:rPr>
                <w:b/>
              </w:rPr>
              <w:t xml:space="preserve">+$0.0074</w:t>
            </w:r>
          </w:p>
        </w:tc>
      </w:tr>
      <w:tr>
        <w:tc>
          <w:tcPr>
            <w:tcW w:w="1872" w:type="dxa"/>
          </w:tcPr>
          <w:p>
            <w:pPr>
              <w:pStyle w:val="TableText"/>
            </w:pPr>
            <w:r>
              <w:t xml:space="preserve">19 minutes</w:t>
            </w:r>
          </w:p>
        </w:tc>
        <w:tc>
          <w:tcPr>
            <w:tcW w:w="1872" w:type="dxa"/>
          </w:tcPr>
          <w:p>
            <w:pPr>
              <w:pStyle w:val="TableText"/>
            </w:pPr>
            <w:r>
              <w:t xml:space="preserve">~300 MB</w:t>
            </w:r>
          </w:p>
        </w:tc>
        <w:tc>
          <w:tcPr>
            <w:tcW w:w="1872" w:type="dxa"/>
          </w:tcPr>
          <w:p>
            <w:pPr>
              <w:pStyle w:val="TableText"/>
            </w:pPr>
            <w:r>
              <w:t xml:space="preserve">$0.0147</w:t>
            </w:r>
          </w:p>
        </w:tc>
        <w:tc>
          <w:tcPr>
            <w:tcW w:w="1872" w:type="dxa"/>
          </w:tcPr>
          <w:p>
            <w:pPr>
              <w:pStyle w:val="TableText"/>
            </w:pPr>
            <w:r>
              <w:t xml:space="preserve">$0.0150</w:t>
            </w:r>
          </w:p>
        </w:tc>
        <w:tc>
          <w:tcPr>
            <w:tcW w:w="1872" w:type="dxa"/>
          </w:tcPr>
          <w:p>
            <w:pPr>
              <w:pStyle w:val="TableText"/>
            </w:pPr>
            <w:r>
              <w:t xml:space="preserve">break-even</w:t>
            </w:r>
          </w:p>
        </w:tc>
      </w:tr>
      <w:tr>
        <w:tc>
          <w:tcPr>
            <w:tcW w:w="1872" w:type="dxa"/>
          </w:tcPr>
          <w:p>
            <w:pPr>
              <w:pStyle w:val="TableText"/>
            </w:pPr>
            <w:r>
              <w:t xml:space="preserve">30 minutes</w:t>
            </w:r>
          </w:p>
        </w:tc>
        <w:tc>
          <w:tcPr>
            <w:tcW w:w="1872" w:type="dxa"/>
          </w:tcPr>
          <w:p>
            <w:pPr>
              <w:pStyle w:val="TableText"/>
            </w:pPr>
            <w:r>
              <w:t xml:space="preserve">484 MB</w:t>
            </w:r>
          </w:p>
        </w:tc>
        <w:tc>
          <w:tcPr>
            <w:tcW w:w="1872" w:type="dxa"/>
          </w:tcPr>
          <w:p>
            <w:pPr>
              <w:pStyle w:val="TableText"/>
            </w:pPr>
            <w:r>
              <w:t xml:space="preserve">$0.0236</w:t>
            </w:r>
          </w:p>
        </w:tc>
        <w:tc>
          <w:tcPr>
            <w:tcW w:w="1872" w:type="dxa"/>
          </w:tcPr>
          <w:p>
            <w:pPr>
              <w:pStyle w:val="TableText"/>
            </w:pPr>
            <w:r>
              <w:t xml:space="preserve">$0.0150</w:t>
            </w:r>
          </w:p>
        </w:tc>
        <w:tc>
          <w:tcPr>
            <w:tcW w:w="1872" w:type="dxa"/>
          </w:tcPr>
          <w:p>
            <w:pPr>
              <w:pStyle w:val="TableText"/>
            </w:pPr>
            <w:r>
              <w:t xml:space="preserve">−$0.0086</w:t>
            </w:r>
          </w:p>
        </w:tc>
      </w:tr>
      <w:tr>
        <w:tc>
          <w:tcPr>
            <w:tcW w:w="1872" w:type="dxa"/>
          </w:tcPr>
          <w:p>
            <w:pPr>
              <w:pStyle w:val="TableText"/>
            </w:pPr>
            <w:r>
              <w:t xml:space="preserve">1 hour</w:t>
            </w:r>
          </w:p>
        </w:tc>
        <w:tc>
          <w:tcPr>
            <w:tcW w:w="1872" w:type="dxa"/>
          </w:tcPr>
          <w:p>
            <w:pPr>
              <w:pStyle w:val="TableText"/>
            </w:pPr>
            <w:r>
              <w:t xml:space="preserve">976 MB</w:t>
            </w:r>
          </w:p>
        </w:tc>
        <w:tc>
          <w:tcPr>
            <w:tcW w:w="1872" w:type="dxa"/>
          </w:tcPr>
          <w:p>
            <w:pPr>
              <w:pStyle w:val="TableText"/>
            </w:pPr>
            <w:r>
              <w:t xml:space="preserve">$0.0477</w:t>
            </w:r>
          </w:p>
        </w:tc>
        <w:tc>
          <w:tcPr>
            <w:tcW w:w="1872" w:type="dxa"/>
          </w:tcPr>
          <w:p>
            <w:pPr>
              <w:pStyle w:val="TableText"/>
            </w:pPr>
            <w:r>
              <w:t xml:space="preserve">$0.0150</w:t>
            </w:r>
          </w:p>
        </w:tc>
        <w:tc>
          <w:tcPr>
            <w:tcW w:w="1872" w:type="dxa"/>
          </w:tcPr>
          <w:p>
            <w:pPr>
              <w:pStyle w:val="TableText"/>
            </w:pPr>
            <w:r>
              <w:t xml:space="preserve">−$0.0327</w:t>
            </w:r>
          </w:p>
        </w:tc>
      </w:tr>
      <w:tr>
        <w:tc>
          <w:tcPr>
            <w:tcW w:w="1872" w:type="dxa"/>
          </w:tcPr>
          <w:p>
            <w:pPr>
              <w:pStyle w:val="TableText"/>
            </w:pPr>
            <w:r>
              <w:t xml:space="preserve">3 hours</w:t>
            </w:r>
          </w:p>
        </w:tc>
        <w:tc>
          <w:tcPr>
            <w:tcW w:w="1872" w:type="dxa"/>
          </w:tcPr>
          <w:p>
            <w:pPr>
              <w:pStyle w:val="TableText"/>
            </w:pPr>
            <w:r>
              <w:t xml:space="preserve">2.9 GB</w:t>
            </w:r>
          </w:p>
        </w:tc>
        <w:tc>
          <w:tcPr>
            <w:tcW w:w="1872" w:type="dxa"/>
          </w:tcPr>
          <w:p>
            <w:pPr>
              <w:pStyle w:val="TableText"/>
            </w:pPr>
            <w:r>
              <w:t xml:space="preserve">$0.1438</w:t>
            </w:r>
          </w:p>
        </w:tc>
        <w:tc>
          <w:tcPr>
            <w:tcW w:w="1872" w:type="dxa"/>
          </w:tcPr>
          <w:p>
            <w:pPr>
              <w:pStyle w:val="TableText"/>
            </w:pPr>
            <w:r>
              <w:t xml:space="preserve">$0.0150</w:t>
            </w:r>
          </w:p>
        </w:tc>
        <w:tc>
          <w:tcPr>
            <w:tcW w:w="1872" w:type="dxa"/>
          </w:tcPr>
          <w:p>
            <w:pPr>
              <w:pStyle w:val="TableText"/>
            </w:pPr>
            <w:r>
              <w:rPr>
                <w:b/>
              </w:rPr>
              <w:t xml:space="preserve">−$0.1288</w:t>
            </w:r>
          </w:p>
        </w:tc>
      </w:tr>
    </w:tbl>
    <w:p>
      <w:pPr>
        <w:pStyle w:val="Spacer"/>
      </w:pPr>
      <w:r>
        <w:t xml:space="preserve"/>
      </w:r>
    </w:p>
    <w:p>
      <w:pPr/>
      <w:r>
        <w:t xml:space="preserve">Blended over a realistic mix — 25% ambient at three hours, 35% family walkthroughs at fifteen minutes, 40% presentations at twenty-five [assumed] — the average show sends </w:t>
      </w:r>
      <w:r>
        <w:rPr>
          <w:b/>
        </w:rPr>
        <w:t xml:space="preserve">980 MB where 54.7 MB would do: 18× more than it needs to.</w:t>
      </w:r>
    </w:p>
    <w:p>
      <w:pPr>
        <w:pStyle w:val="Heading4"/>
      </w:pPr>
      <w:r>
        <w:rPr>
          <w:b/>
          <w:i/>
          <w:sz w:val="23"/>
          <w:szCs w:val="23"/>
        </w:rPr>
        <w:t xml:space="preserve">What it does to the model</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At Year 3 (500,000 shows/month)</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Infrastructure</w:t>
            </w:r>
          </w:p>
        </w:tc>
        <w:tc>
          <w:tcPr>
            <w:tcW w:w="2340" w:type="dxa"/>
            <w:shd w:val="clear" w:fill="F2F2F2"/>
          </w:tcPr>
          <w:p>
            <w:pPr>
              <w:pStyle w:val="TableText"/>
            </w:pPr>
            <w:r>
              <w:rPr>
                <w:b/>
              </w:rPr>
              <w:t xml:space="preserve">Gross margin</w:t>
            </w:r>
          </w:p>
        </w:tc>
      </w:tr>
      <w:tr>
        <w:tc>
          <w:tcPr>
            <w:tcW w:w="2340" w:type="dxa"/>
          </w:tcPr>
          <w:p>
            <w:pPr>
              <w:pStyle w:val="TableText"/>
            </w:pPr>
            <w:r>
              <w:t xml:space="preserve">Each slide fetched once</w:t>
            </w:r>
          </w:p>
        </w:tc>
        <w:tc>
          <w:tcPr>
            <w:tcW w:w="2340" w:type="dxa"/>
          </w:tcPr>
          <w:p>
            <w:pPr>
              <w:pStyle w:val="TableText"/>
            </w:pPr>
            <w:r>
              <w:t xml:space="preserve">$1,335/mo</w:t>
            </w:r>
          </w:p>
        </w:tc>
        <w:tc>
          <w:tcPr>
            <w:tcW w:w="2340" w:type="dxa"/>
          </w:tcPr>
          <w:p>
            <w:pPr>
              <w:pStyle w:val="TableText"/>
            </w:pPr>
            <w:r>
              <w:t xml:space="preserve">$1,535/mo</w:t>
            </w:r>
          </w:p>
        </w:tc>
        <w:tc>
          <w:tcPr>
            <w:tcW w:w="2340" w:type="dxa"/>
          </w:tcPr>
          <w:p>
            <w:pPr>
              <w:pStyle w:val="TableText"/>
            </w:pPr>
            <w:r>
              <w:rPr>
                <w:b/>
              </w:rPr>
              <w:t xml:space="preserve">96%</w:t>
            </w:r>
          </w:p>
        </w:tc>
      </w:tr>
      <w:tr>
        <w:tc>
          <w:tcPr>
            <w:tcW w:w="2340" w:type="dxa"/>
          </w:tcPr>
          <w:p>
            <w:pPr>
              <w:pStyle w:val="TableText"/>
            </w:pPr>
            <w:r>
              <w:t xml:space="preserve">Live mode as it stands</w:t>
            </w:r>
          </w:p>
        </w:tc>
        <w:tc>
          <w:tcPr>
            <w:tcW w:w="2340" w:type="dxa"/>
          </w:tcPr>
          <w:p>
            <w:pPr>
              <w:pStyle w:val="TableText"/>
            </w:pPr>
            <w:r>
              <w:t xml:space="preserve">$23,932/mo</w:t>
            </w:r>
          </w:p>
        </w:tc>
        <w:tc>
          <w:tcPr>
            <w:tcW w:w="2340" w:type="dxa"/>
          </w:tcPr>
          <w:p>
            <w:pPr>
              <w:pStyle w:val="TableText"/>
            </w:pPr>
            <w:r>
              <w:t xml:space="preserve">$24,132/mo</w:t>
            </w:r>
          </w:p>
        </w:tc>
        <w:tc>
          <w:tcPr>
            <w:tcW w:w="2340" w:type="dxa"/>
          </w:tcPr>
          <w:p>
            <w:pPr>
              <w:pStyle w:val="TableText"/>
            </w:pPr>
            <w:r>
              <w:rPr>
                <w:b/>
              </w:rPr>
              <w:t xml:space="preserve">33%</w:t>
            </w:r>
          </w:p>
        </w:tc>
      </w:tr>
      <w:tr>
        <w:tc>
          <w:tcPr>
            <w:tcW w:w="2340" w:type="dxa"/>
          </w:tcPr>
          <w:p>
            <w:pPr>
              <w:pStyle w:val="TableText"/>
            </w:pPr>
            <w:r>
              <w:t xml:space="preserve">Worst case, every show 3 hours</w:t>
            </w:r>
          </w:p>
        </w:tc>
        <w:tc>
          <w:tcPr>
            <w:tcW w:w="2340" w:type="dxa"/>
          </w:tcPr>
          <w:p>
            <w:pPr>
              <w:pStyle w:val="TableText"/>
            </w:pPr>
            <w:r>
              <w:t xml:space="preserve">$72,000/mo</w:t>
            </w:r>
          </w:p>
        </w:tc>
        <w:tc>
          <w:tcPr>
            <w:tcW w:w="2340" w:type="dxa"/>
          </w:tcPr>
          <w:p>
            <w:pPr>
              <w:pStyle w:val="TableText"/>
            </w:pPr>
            <w:r>
              <w:t xml:space="preserve">$72,200/mo</w:t>
            </w:r>
          </w:p>
        </w:tc>
        <w:tc>
          <w:tcPr>
            <w:tcW w:w="2340" w:type="dxa"/>
          </w:tcPr>
          <w:p>
            <w:pPr>
              <w:pStyle w:val="TableText"/>
            </w:pPr>
            <w:r>
              <w:rPr>
                <w:b/>
              </w:rPr>
              <w:t xml:space="preserve">negative</w:t>
            </w:r>
          </w:p>
        </w:tc>
      </w:tr>
    </w:tbl>
    <w:p>
      <w:pPr>
        <w:pStyle w:val="Spacer"/>
      </w:pPr>
      <w:r>
        <w:t xml:space="preserve"/>
      </w:r>
    </w:p>
    <w:p>
      <w:pPr/>
      <w:r>
        <w:t xml:space="preserve">The middle row does not bankrupt the business — it gives away two thirds of gross margin, and the more successful the party use case becomes the worse the trade gets. The bottom row is the one that ends it, and the only thing separating the two is how long people leave shows running, which is not something the business controls.</w:t>
      </w:r>
    </w:p>
    <w:p>
      <w:pPr>
        <w:pStyle w:val="Heading4"/>
      </w:pPr>
      <w:r>
        <w:rPr>
          <w:b/>
          <w:i/>
          <w:sz w:val="23"/>
          <w:szCs w:val="23"/>
        </w:rPr>
        <w:t xml:space="preserve">The fix, and the one thing to watch</w:t>
      </w:r>
    </w:p>
    <w:p>
      <w:pPr/>
      <w:r>
        <w:t xml:space="preserve">Hand-off mode already stores the whole show and fetches each slide exactly once. Live mode should do the same — but </w:t>
      </w:r>
      <w:r>
        <w:rPr>
          <w:b/>
        </w:rPr>
        <w:t xml:space="preserve">as a byte budget, not "cache everything"</w:t>
      </w:r>
      <w:r>
        <w:t xml:space="preserve">, because live mode has no photo cap the way hand-off does: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Slides held</w:t>
            </w:r>
          </w:p>
        </w:tc>
        <w:tc>
          <w:tcPr>
            <w:tcW w:w="4680" w:type="dxa"/>
            <w:shd w:val="clear" w:fill="F2F2F2"/>
          </w:tcPr>
          <w:p>
            <w:pPr>
              <w:pStyle w:val="TableText"/>
            </w:pPr>
            <w:r>
              <w:rPr>
                <w:b/>
              </w:rPr>
              <w:t xml:space="preserve">Memory in the tab</w:t>
            </w:r>
          </w:p>
        </w:tc>
      </w:tr>
      <w:tr>
        <w:tc>
          <w:tcPr>
            <w:tcW w:w="4680" w:type="dxa"/>
          </w:tcPr>
          <w:p>
            <w:pPr>
              <w:pStyle w:val="TableText"/>
            </w:pPr>
            <w:r>
              <w:t xml:space="preserve">40</w:t>
            </w:r>
          </w:p>
        </w:tc>
        <w:tc>
          <w:tcPr>
            <w:tcW w:w="4680" w:type="dxa"/>
          </w:tcPr>
          <w:p>
            <w:pPr>
              <w:pStyle w:val="TableText"/>
            </w:pPr>
            <w:r>
              <w:t xml:space="preserve">14 MB</w:t>
            </w:r>
          </w:p>
        </w:tc>
      </w:tr>
      <w:tr>
        <w:tc>
          <w:tcPr>
            <w:tcW w:w="4680" w:type="dxa"/>
          </w:tcPr>
          <w:p>
            <w:pPr>
              <w:pStyle w:val="TableText"/>
            </w:pPr>
            <w:r>
              <w:t xml:space="preserve">285</w:t>
            </w:r>
          </w:p>
        </w:tc>
        <w:tc>
          <w:tcPr>
            <w:tcW w:w="4680" w:type="dxa"/>
          </w:tcPr>
          <w:p>
            <w:pPr>
              <w:pStyle w:val="TableText"/>
            </w:pPr>
            <w:r>
              <w:t xml:space="preserve">97 MB</w:t>
            </w:r>
          </w:p>
        </w:tc>
      </w:tr>
      <w:tr>
        <w:tc>
          <w:tcPr>
            <w:tcW w:w="4680" w:type="dxa"/>
          </w:tcPr>
          <w:p>
            <w:pPr>
              <w:pStyle w:val="TableText"/>
            </w:pPr>
            <w:r>
              <w:t xml:space="preserve">2,000</w:t>
            </w:r>
          </w:p>
        </w:tc>
        <w:tc>
          <w:tcPr>
            <w:tcW w:w="4680" w:type="dxa"/>
          </w:tcPr>
          <w:p>
            <w:pPr>
              <w:pStyle w:val="TableText"/>
            </w:pPr>
            <w:r>
              <w:t xml:space="preserve">684 MB</w:t>
            </w:r>
          </w:p>
        </w:tc>
      </w:tr>
    </w:tbl>
    <w:p>
      <w:pPr>
        <w:pStyle w:val="Spacer"/>
      </w:pPr>
      <w:r>
        <w:t xml:space="preserve"/>
      </w:r>
    </w:p>
    <w:p>
      <w:pPr/>
      <w:r>
        <w:t xml:space="preserve">A ~100 MB budget holds about 285 slides, which is more than almost any real show, while stopping a 2,000-photo folder from exhausting a television's memory — which is why the cache was small to begin with. </w:t>
      </w:r>
      <w:r>
        <w:rPr>
          <w:b/>
        </w:rPr>
        <w:t xml:space="preserve">A few hours of work for an 18× reduction in the dominant cost, and it makes spend depend on content size rather than on how long the party lasts.</w:t>
      </w:r>
    </w:p>
    <w:p>
      <w:pPr>
        <w:pStyle w:val="Heading3"/>
      </w:pPr>
      <w:r>
        <w:rPr>
          <w:b/>
          <w:sz w:val="26"/>
          <w:szCs w:val="26"/>
          <w:color w:val="3B3357"/>
        </w:rPr>
        <w:t xml:space="preserve">Finding 2 — premium is cheaper to serve than free</w:t>
      </w:r>
    </w:p>
    <w:p>
      <w:pPr/>
      <w:r>
        <w:t xml:space="preserve">Object storage is $0.015/GB-month </w:t>
      </w:r>
      <w:r>
        <w:rPr>
          <w:b/>
        </w:rPr>
        <w:t xml:space="preserve">with free egress</w:t>
      </w:r>
      <w:r>
        <w:t xml:space="preserve">; relayed traffic is $0.05/GB. So a stored premium show costs almost nothing to serve, while a free relayed show costs real money every time a screen watches it.</w:t>
      </w:r>
    </w:p>
    <w:p>
      <w:pPr>
        <w:pStyle w:val="ListBullet"/>
        <w:numPr>
          <w:ilvl w:val="0"/>
          <w:numId w:val="1"/>
        </w:numPr>
      </w:pPr>
      <w:r>
        <w:t xml:space="preserve">50 slides stored = </w:t>
      </w:r>
      <w:r>
        <w:rPr>
          <w:b/>
        </w:rPr>
        <w:t xml:space="preserve">17 MB per show</w:t>
      </w:r>
    </w:p>
    <w:p>
      <w:pPr>
        <w:pStyle w:val="ListBullet"/>
        <w:numPr>
          <w:ilvl w:val="0"/>
          <w:numId w:val="1"/>
        </w:numPr>
      </w:pPr>
      <w:r>
        <w:rPr>
          <w:b/>
        </w:rPr>
        <w:t xml:space="preserve">10,000 stored shows = 167 GB = $2.50/month</w:t>
      </w:r>
      <w:r>
        <w:t xml:space="preserve">, egress free</w:t>
      </w:r>
    </w:p>
    <w:p>
      <w:pPr/>
      <w:r>
        <w:t xml:space="preserve">This inverts the usual freemium worry. The premium tier does not need to subsidise an expensive free tier — it is structurally cheaper. It also means Plus can be priced on value rather than cost, and that generous storage limits cost nothing to offer.</w:t>
      </w:r>
    </w:p>
    <w:p>
      <w:r>
        <w:br w:type="page"/>
      </w:r>
    </w:p>
    <w:p>
      <w:pPr>
        <w:pStyle w:val="Heading2"/>
      </w:pPr>
      <w:r>
        <w:rPr>
          <w:b/>
          <w:sz w:val="32"/>
          <w:szCs w:val="32"/>
          <w:color w:val="2A2440"/>
        </w:rPr>
        <w:t xml:space="preserve">7. Three-year scenarios</w:t>
      </w:r>
    </w:p>
    <w:p>
      <w:pPr/>
      <w:r>
        <w:t xml:space="preserve">Assumes 2 shows per presenter per month, 4 screens per show, 40 slides, $2.50 RPM, </w:t>
      </w:r>
      <w:r>
        <w:rPr>
          <w:b/>
        </w:rPr>
        <w:t xml:space="preserve">2.5% free-to-paid conversion</w:t>
      </w:r>
      <w:r>
        <w:t xml:space="preserve"> (published consumer freemium median is 2.1–5% [sourced]), $3.99/month blended subscription, </w:t>
      </w:r>
      <w:r>
        <w:rPr>
          <w:b/>
        </w:rPr>
        <w:t xml:space="preserve">and Finding 1 fixed</w:t>
      </w:r>
      <w:r>
        <w:t xml:space="preserve"> — the italic row shows the same scenario if it is not.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Year 1</w:t>
            </w:r>
          </w:p>
        </w:tc>
        <w:tc>
          <w:tcPr>
            <w:tcW w:w="2340" w:type="dxa"/>
            <w:shd w:val="clear" w:fill="F2F2F2"/>
          </w:tcPr>
          <w:p>
            <w:pPr>
              <w:pStyle w:val="TableText"/>
            </w:pPr>
            <w:r>
              <w:rPr>
                <w:b/>
              </w:rPr>
              <w:t xml:space="preserve">Year 2</w:t>
            </w:r>
          </w:p>
        </w:tc>
        <w:tc>
          <w:tcPr>
            <w:tcW w:w="2340" w:type="dxa"/>
            <w:shd w:val="clear" w:fill="F2F2F2"/>
          </w:tcPr>
          <w:p>
            <w:pPr>
              <w:pStyle w:val="TableText"/>
            </w:pPr>
            <w:r>
              <w:rPr>
                <w:b/>
              </w:rPr>
              <w:t xml:space="preserve">Year 3</w:t>
            </w:r>
          </w:p>
        </w:tc>
      </w:tr>
      <w:tr>
        <w:tc>
          <w:tcPr>
            <w:tcW w:w="2340" w:type="dxa"/>
          </w:tcPr>
          <w:p>
            <w:pPr>
              <w:pStyle w:val="TableText"/>
            </w:pPr>
            <w:r>
              <w:t xml:space="preserve">Monthly active presenters</w:t>
            </w:r>
          </w:p>
        </w:tc>
        <w:tc>
          <w:tcPr>
            <w:tcW w:w="2340" w:type="dxa"/>
          </w:tcPr>
          <w:p>
            <w:pPr>
              <w:pStyle w:val="TableText"/>
            </w:pPr>
            <w:r>
              <w:t xml:space="preserve">5,000</w:t>
            </w:r>
          </w:p>
        </w:tc>
        <w:tc>
          <w:tcPr>
            <w:tcW w:w="2340" w:type="dxa"/>
          </w:tcPr>
          <w:p>
            <w:pPr>
              <w:pStyle w:val="TableText"/>
            </w:pPr>
            <w:r>
              <w:t xml:space="preserve">50,000</w:t>
            </w:r>
          </w:p>
        </w:tc>
        <w:tc>
          <w:tcPr>
            <w:tcW w:w="2340" w:type="dxa"/>
          </w:tcPr>
          <w:p>
            <w:pPr>
              <w:pStyle w:val="TableText"/>
            </w:pPr>
            <w:r>
              <w:t xml:space="preserve">250,000</w:t>
            </w:r>
          </w:p>
        </w:tc>
      </w:tr>
      <w:tr>
        <w:tc>
          <w:tcPr>
            <w:tcW w:w="2340" w:type="dxa"/>
          </w:tcPr>
          <w:p>
            <w:pPr>
              <w:pStyle w:val="TableText"/>
            </w:pPr>
            <w:r>
              <w:t xml:space="preserve">Shows / month</w:t>
            </w:r>
          </w:p>
        </w:tc>
        <w:tc>
          <w:tcPr>
            <w:tcW w:w="2340" w:type="dxa"/>
          </w:tcPr>
          <w:p>
            <w:pPr>
              <w:pStyle w:val="TableText"/>
            </w:pPr>
            <w:r>
              <w:t xml:space="preserve">10,000</w:t>
            </w:r>
          </w:p>
        </w:tc>
        <w:tc>
          <w:tcPr>
            <w:tcW w:w="2340" w:type="dxa"/>
          </w:tcPr>
          <w:p>
            <w:pPr>
              <w:pStyle w:val="TableText"/>
            </w:pPr>
            <w:r>
              <w:t xml:space="preserve">100,000</w:t>
            </w:r>
          </w:p>
        </w:tc>
        <w:tc>
          <w:tcPr>
            <w:tcW w:w="2340" w:type="dxa"/>
          </w:tcPr>
          <w:p>
            <w:pPr>
              <w:pStyle w:val="TableText"/>
            </w:pPr>
            <w:r>
              <w:t xml:space="preserve">500,000</w:t>
            </w:r>
          </w:p>
        </w:tc>
      </w:tr>
      <w:tr>
        <w:tc>
          <w:tcPr>
            <w:tcW w:w="2340" w:type="dxa"/>
          </w:tcPr>
          <w:p>
            <w:pPr>
              <w:pStyle w:val="TableText"/>
            </w:pPr>
            <w:r>
              <w:t xml:space="preserve">Ad impressions / month</w:t>
            </w:r>
          </w:p>
        </w:tc>
        <w:tc>
          <w:tcPr>
            <w:tcW w:w="2340" w:type="dxa"/>
          </w:tcPr>
          <w:p>
            <w:pPr>
              <w:pStyle w:val="TableText"/>
            </w:pPr>
            <w:r>
              <w:t xml:space="preserve">90,000</w:t>
            </w:r>
          </w:p>
        </w:tc>
        <w:tc>
          <w:tcPr>
            <w:tcW w:w="2340" w:type="dxa"/>
          </w:tcPr>
          <w:p>
            <w:pPr>
              <w:pStyle w:val="TableText"/>
            </w:pPr>
            <w:r>
              <w:t xml:space="preserve">900,000</w:t>
            </w:r>
          </w:p>
        </w:tc>
        <w:tc>
          <w:tcPr>
            <w:tcW w:w="2340" w:type="dxa"/>
          </w:tcPr>
          <w:p>
            <w:pPr>
              <w:pStyle w:val="TableText"/>
            </w:pPr>
            <w:r>
              <w:t xml:space="preserve">4,500,000</w:t>
            </w:r>
          </w:p>
        </w:tc>
      </w:tr>
      <w:tr>
        <w:tc>
          <w:tcPr>
            <w:tcW w:w="2340" w:type="dxa"/>
          </w:tcPr>
          <w:p>
            <w:pPr>
              <w:pStyle w:val="TableText"/>
            </w:pPr>
            <w:r>
              <w:rPr>
                <w:b/>
              </w:rPr>
              <w:t xml:space="preserve">Ad revenue</w:t>
            </w:r>
          </w:p>
        </w:tc>
        <w:tc>
          <w:tcPr>
            <w:tcW w:w="2340" w:type="dxa"/>
          </w:tcPr>
          <w:p>
            <w:pPr>
              <w:pStyle w:val="TableText"/>
            </w:pPr>
            <w:r>
              <w:t xml:space="preserve">$225/mo</w:t>
            </w:r>
          </w:p>
        </w:tc>
        <w:tc>
          <w:tcPr>
            <w:tcW w:w="2340" w:type="dxa"/>
          </w:tcPr>
          <w:p>
            <w:pPr>
              <w:pStyle w:val="TableText"/>
            </w:pPr>
            <w:r>
              <w:t xml:space="preserve">$2,250/mo</w:t>
            </w:r>
          </w:p>
        </w:tc>
        <w:tc>
          <w:tcPr>
            <w:tcW w:w="2340" w:type="dxa"/>
          </w:tcPr>
          <w:p>
            <w:pPr>
              <w:pStyle w:val="TableText"/>
            </w:pPr>
            <w:r>
              <w:t xml:space="preserve">$11,250/mo</w:t>
            </w:r>
          </w:p>
        </w:tc>
      </w:tr>
      <w:tr>
        <w:tc>
          <w:tcPr>
            <w:tcW w:w="2340" w:type="dxa"/>
          </w:tcPr>
          <w:p>
            <w:pPr>
              <w:pStyle w:val="TableText"/>
            </w:pPr>
            <w:r>
              <w:t xml:space="preserve">Subscribers @ 2.5%</w:t>
            </w:r>
          </w:p>
        </w:tc>
        <w:tc>
          <w:tcPr>
            <w:tcW w:w="2340" w:type="dxa"/>
          </w:tcPr>
          <w:p>
            <w:pPr>
              <w:pStyle w:val="TableText"/>
            </w:pPr>
            <w:r>
              <w:t xml:space="preserve">125</w:t>
            </w:r>
          </w:p>
        </w:tc>
        <w:tc>
          <w:tcPr>
            <w:tcW w:w="2340" w:type="dxa"/>
          </w:tcPr>
          <w:p>
            <w:pPr>
              <w:pStyle w:val="TableText"/>
            </w:pPr>
            <w:r>
              <w:t xml:space="preserve">1,250</w:t>
            </w:r>
          </w:p>
        </w:tc>
        <w:tc>
          <w:tcPr>
            <w:tcW w:w="2340" w:type="dxa"/>
          </w:tcPr>
          <w:p>
            <w:pPr>
              <w:pStyle w:val="TableText"/>
            </w:pPr>
            <w:r>
              <w:t xml:space="preserve">6,250</w:t>
            </w:r>
          </w:p>
        </w:tc>
      </w:tr>
      <w:tr>
        <w:tc>
          <w:tcPr>
            <w:tcW w:w="2340" w:type="dxa"/>
          </w:tcPr>
          <w:p>
            <w:pPr>
              <w:pStyle w:val="TableText"/>
            </w:pPr>
            <w:r>
              <w:rPr>
                <w:b/>
              </w:rPr>
              <w:t xml:space="preserve">Subscription revenue</w:t>
            </w:r>
          </w:p>
        </w:tc>
        <w:tc>
          <w:tcPr>
            <w:tcW w:w="2340" w:type="dxa"/>
          </w:tcPr>
          <w:p>
            <w:pPr>
              <w:pStyle w:val="TableText"/>
            </w:pPr>
            <w:r>
              <w:t xml:space="preserve">$499/mo</w:t>
            </w:r>
          </w:p>
        </w:tc>
        <w:tc>
          <w:tcPr>
            <w:tcW w:w="2340" w:type="dxa"/>
          </w:tcPr>
          <w:p>
            <w:pPr>
              <w:pStyle w:val="TableText"/>
            </w:pPr>
            <w:r>
              <w:t xml:space="preserve">$4,988/mo</w:t>
            </w:r>
          </w:p>
        </w:tc>
        <w:tc>
          <w:tcPr>
            <w:tcW w:w="2340" w:type="dxa"/>
          </w:tcPr>
          <w:p>
            <w:pPr>
              <w:pStyle w:val="TableText"/>
            </w:pPr>
            <w:r>
              <w:t xml:space="preserve">$24,938/mo</w:t>
            </w:r>
          </w:p>
        </w:tc>
      </w:tr>
      <w:tr>
        <w:tc>
          <w:tcPr>
            <w:tcW w:w="2340" w:type="dxa"/>
          </w:tcPr>
          <w:p>
            <w:pPr>
              <w:pStyle w:val="TableText"/>
            </w:pPr>
            <w:r>
              <w:rPr>
                <w:b/>
              </w:rPr>
              <w:t xml:space="preserve">Total revenue</w:t>
            </w:r>
          </w:p>
        </w:tc>
        <w:tc>
          <w:tcPr>
            <w:tcW w:w="2340" w:type="dxa"/>
          </w:tcPr>
          <w:p>
            <w:pPr>
              <w:pStyle w:val="TableText"/>
            </w:pPr>
            <w:r>
              <w:rPr>
                <w:b/>
              </w:rPr>
              <w:t xml:space="preserve">$8.7k/yr</w:t>
            </w:r>
          </w:p>
        </w:tc>
        <w:tc>
          <w:tcPr>
            <w:tcW w:w="2340" w:type="dxa"/>
          </w:tcPr>
          <w:p>
            <w:pPr>
              <w:pStyle w:val="TableText"/>
            </w:pPr>
            <w:r>
              <w:rPr>
                <w:b/>
              </w:rPr>
              <w:t xml:space="preserve">$87k/yr</w:t>
            </w:r>
          </w:p>
        </w:tc>
        <w:tc>
          <w:tcPr>
            <w:tcW w:w="2340" w:type="dxa"/>
          </w:tcPr>
          <w:p>
            <w:pPr>
              <w:pStyle w:val="TableText"/>
            </w:pPr>
            <w:r>
              <w:rPr>
                <w:b/>
              </w:rPr>
              <w:t xml:space="preserve">$434k/yr</w:t>
            </w:r>
          </w:p>
        </w:tc>
      </w:tr>
      <w:tr>
        <w:tc>
          <w:tcPr>
            <w:tcW w:w="2340" w:type="dxa"/>
          </w:tcPr>
          <w:p>
            <w:pPr>
              <w:pStyle w:val="TableText"/>
            </w:pPr>
            <w:r>
              <w:t xml:space="preserve">Egress</w:t>
            </w:r>
          </w:p>
        </w:tc>
        <w:tc>
          <w:tcPr>
            <w:tcW w:w="2340" w:type="dxa"/>
          </w:tcPr>
          <w:p>
            <w:pPr>
              <w:pStyle w:val="TableText"/>
            </w:pPr>
            <w:r>
              <w:t xml:space="preserve">534 GB → $27</w:t>
            </w:r>
          </w:p>
        </w:tc>
        <w:tc>
          <w:tcPr>
            <w:tcW w:w="2340" w:type="dxa"/>
          </w:tcPr>
          <w:p>
            <w:pPr>
              <w:pStyle w:val="TableText"/>
            </w:pPr>
            <w:r>
              <w:t xml:space="preserve">5.3 TB → $267</w:t>
            </w:r>
          </w:p>
        </w:tc>
        <w:tc>
          <w:tcPr>
            <w:tcW w:w="2340" w:type="dxa"/>
          </w:tcPr>
          <w:p>
            <w:pPr>
              <w:pStyle w:val="TableText"/>
            </w:pPr>
            <w:r>
              <w:t xml:space="preserve">26.7 TB → $1,335</w:t>
            </w:r>
          </w:p>
        </w:tc>
      </w:tr>
      <w:tr>
        <w:tc>
          <w:tcPr>
            <w:tcW w:w="2340" w:type="dxa"/>
          </w:tcPr>
          <w:p>
            <w:pPr>
              <w:pStyle w:val="TableText"/>
            </w:pPr>
            <w:r>
              <w:t xml:space="preserve">Compute (assumed)</w:t>
            </w:r>
          </w:p>
        </w:tc>
        <w:tc>
          <w:tcPr>
            <w:tcW w:w="2340" w:type="dxa"/>
          </w:tcPr>
          <w:p>
            <w:pPr>
              <w:pStyle w:val="TableText"/>
            </w:pPr>
            <w:r>
              <w:t xml:space="preserve">$200</w:t>
            </w:r>
          </w:p>
        </w:tc>
        <w:tc>
          <w:tcPr>
            <w:tcW w:w="2340" w:type="dxa"/>
          </w:tcPr>
          <w:p>
            <w:pPr>
              <w:pStyle w:val="TableText"/>
            </w:pPr>
            <w:r>
              <w:t xml:space="preserve">$200</w:t>
            </w:r>
          </w:p>
        </w:tc>
        <w:tc>
          <w:tcPr>
            <w:tcW w:w="2340" w:type="dxa"/>
          </w:tcPr>
          <w:p>
            <w:pPr>
              <w:pStyle w:val="TableText"/>
            </w:pPr>
            <w:r>
              <w:t xml:space="preserve">$200</w:t>
            </w:r>
          </w:p>
        </w:tc>
      </w:tr>
      <w:tr>
        <w:tc>
          <w:tcPr>
            <w:tcW w:w="2340" w:type="dxa"/>
          </w:tcPr>
          <w:p>
            <w:pPr>
              <w:pStyle w:val="TableText"/>
            </w:pPr>
            <w:r>
              <w:rPr>
                <w:b/>
              </w:rPr>
              <w:t xml:space="preserve">Infrastructure</w:t>
            </w:r>
          </w:p>
        </w:tc>
        <w:tc>
          <w:tcPr>
            <w:tcW w:w="2340" w:type="dxa"/>
          </w:tcPr>
          <w:p>
            <w:pPr>
              <w:pStyle w:val="TableText"/>
            </w:pPr>
            <w:r>
              <w:t xml:space="preserve">$227/mo</w:t>
            </w:r>
          </w:p>
        </w:tc>
        <w:tc>
          <w:tcPr>
            <w:tcW w:w="2340" w:type="dxa"/>
          </w:tcPr>
          <w:p>
            <w:pPr>
              <w:pStyle w:val="TableText"/>
            </w:pPr>
            <w:r>
              <w:t xml:space="preserve">$467/mo</w:t>
            </w:r>
          </w:p>
        </w:tc>
        <w:tc>
          <w:tcPr>
            <w:tcW w:w="2340" w:type="dxa"/>
          </w:tcPr>
          <w:p>
            <w:pPr>
              <w:pStyle w:val="TableText"/>
            </w:pPr>
            <w:r>
              <w:t xml:space="preserve">$1,535/mo</w:t>
            </w:r>
          </w:p>
        </w:tc>
      </w:tr>
      <w:tr>
        <w:tc>
          <w:tcPr>
            <w:tcW w:w="2340" w:type="dxa"/>
          </w:tcPr>
          <w:p>
            <w:pPr>
              <w:pStyle w:val="TableText"/>
            </w:pPr>
            <w:r>
              <w:rPr>
                <w:b/>
              </w:rPr>
              <w:t xml:space="preserve">Gross margin</w:t>
            </w:r>
          </w:p>
        </w:tc>
        <w:tc>
          <w:tcPr>
            <w:tcW w:w="2340" w:type="dxa"/>
          </w:tcPr>
          <w:p>
            <w:pPr>
              <w:pStyle w:val="TableText"/>
            </w:pPr>
            <w:r>
              <w:t xml:space="preserve">69%</w:t>
            </w:r>
          </w:p>
        </w:tc>
        <w:tc>
          <w:tcPr>
            <w:tcW w:w="2340" w:type="dxa"/>
          </w:tcPr>
          <w:p>
            <w:pPr>
              <w:pStyle w:val="TableText"/>
            </w:pPr>
            <w:r>
              <w:t xml:space="preserve">94%</w:t>
            </w:r>
          </w:p>
        </w:tc>
        <w:tc>
          <w:tcPr>
            <w:tcW w:w="2340" w:type="dxa"/>
          </w:tcPr>
          <w:p>
            <w:pPr>
              <w:pStyle w:val="TableText"/>
            </w:pPr>
            <w:r>
              <w:t xml:space="preserve">96%</w:t>
            </w:r>
          </w:p>
        </w:tc>
      </w:tr>
      <w:tr>
        <w:tc>
          <w:tcPr>
            <w:tcW w:w="2340" w:type="dxa"/>
          </w:tcPr>
          <w:p>
            <w:pPr>
              <w:pStyle w:val="TableText"/>
            </w:pPr>
            <w:r>
              <w:rPr>
                <w:i/>
              </w:rPr>
              <w:t xml:space="preserve">Margin if Finding 1 is left unfixed</w:t>
            </w:r>
          </w:p>
        </w:tc>
        <w:tc>
          <w:tcPr>
            <w:tcW w:w="2340" w:type="dxa"/>
          </w:tcPr>
          <w:p>
            <w:pPr>
              <w:pStyle w:val="TableText"/>
            </w:pPr>
            <w:r>
              <w:rPr>
                <w:i/>
              </w:rPr>
              <w:t xml:space="preserve">6%</w:t>
            </w:r>
          </w:p>
        </w:tc>
        <w:tc>
          <w:tcPr>
            <w:tcW w:w="2340" w:type="dxa"/>
          </w:tcPr>
          <w:p>
            <w:pPr>
              <w:pStyle w:val="TableText"/>
            </w:pPr>
            <w:r>
              <w:rPr>
                <w:i/>
              </w:rPr>
              <w:t xml:space="preserve">31%</w:t>
            </w:r>
          </w:p>
        </w:tc>
        <w:tc>
          <w:tcPr>
            <w:tcW w:w="2340" w:type="dxa"/>
          </w:tcPr>
          <w:p>
            <w:pPr>
              <w:pStyle w:val="TableText"/>
            </w:pPr>
            <w:r>
              <w:rPr>
                <w:i/>
              </w:rPr>
              <w:t xml:space="preserve">33%</w:t>
            </w:r>
          </w:p>
        </w:tc>
      </w:tr>
    </w:tbl>
    <w:p>
      <w:pPr>
        <w:pStyle w:val="Spacer"/>
      </w:pPr>
      <w:r>
        <w:t xml:space="preserve"/>
      </w:r>
    </w:p>
    <w:p>
      <w:pPr/>
      <w:r>
        <w:t xml:space="preserve">Compute is held flat at $200/month because the relay is I/O-bound long-polling, not CPU-bound: what matters is concurrent open connections, not total volume, and a single Node process handles thousands. Even tripled for redundancy this stays under $600/month at Year 3 — trivial beside egress.</w:t>
      </w:r>
    </w:p>
    <w:p>
      <w:pPr/>
      <w:r>
        <w:rPr>
          <w:b/>
        </w:rPr>
        <w:t xml:space="preserve">Read the shape, not the numbers.</w:t>
      </w:r>
      <w:r>
        <w:t xml:space="preserve"> Year 1 revenue does not pay a salary. This is a business that works at 50,000+ monthly presenters and is a hobby below that. The user-acquisition question — not the technology, and not the unit economics — is what determines whether it gets there, and this plan has nothing to say about it because there is no data yet.</w:t>
      </w:r>
    </w:p>
    <w:p>
      <w:r>
        <w:br w:type="page"/>
      </w:r>
    </w:p>
    <w:p>
      <w:pPr>
        <w:pStyle w:val="Heading2"/>
      </w:pPr>
      <w:r>
        <w:rPr>
          <w:b/>
          <w:sz w:val="32"/>
          <w:szCs w:val="32"/>
          <w:color w:val="2A2440"/>
        </w:rPr>
        <w:t xml:space="preserve">8. Risks</w:t>
      </w:r>
    </w:p>
    <w:p>
      <w:pPr/>
      <w:r>
        <w:t xml:space="preserve">Carried from the competitive analysis, with financial consequences attached.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Risk</w:t>
            </w:r>
          </w:p>
        </w:tc>
        <w:tc>
          <w:tcPr>
            <w:tcW w:w="3120" w:type="dxa"/>
            <w:shd w:val="clear" w:fill="F2F2F2"/>
          </w:tcPr>
          <w:p>
            <w:pPr>
              <w:pStyle w:val="TableText"/>
            </w:pPr>
            <w:r>
              <w:rPr>
                <w:b/>
              </w:rPr>
              <w:t xml:space="preserve">Consequence</w:t>
            </w:r>
          </w:p>
        </w:tc>
        <w:tc>
          <w:tcPr>
            <w:tcW w:w="3120" w:type="dxa"/>
            <w:shd w:val="clear" w:fill="F2F2F2"/>
          </w:tcPr>
          <w:p>
            <w:pPr>
              <w:pStyle w:val="TableText"/>
            </w:pPr>
            <w:r>
              <w:rPr>
                <w:b/>
              </w:rPr>
              <w:t xml:space="preserve">Response</w:t>
            </w:r>
          </w:p>
        </w:tc>
      </w:tr>
      <w:tr>
        <w:tc>
          <w:tcPr>
            <w:tcW w:w="3120" w:type="dxa"/>
          </w:tcPr>
          <w:p>
            <w:pPr>
              <w:pStyle w:val="TableText"/>
            </w:pPr>
            <w:r>
              <w:rPr>
                <w:b/>
              </w:rPr>
              <w:t xml:space="preserve">Google or Apple ship multi-screen casting</w:t>
            </w:r>
          </w:p>
        </w:tc>
        <w:tc>
          <w:tcPr>
            <w:tcW w:w="3120" w:type="dxa"/>
          </w:tcPr>
          <w:p>
            <w:pPr>
              <w:pStyle w:val="TableText"/>
            </w:pPr>
            <w:r>
              <w:t xml:space="preserve">The TV use case evaporates; ad inventory falls with it</w:t>
            </w:r>
          </w:p>
        </w:tc>
        <w:tc>
          <w:tcPr>
            <w:tcW w:w="3120" w:type="dxa"/>
          </w:tcPr>
          <w:p>
            <w:pPr>
              <w:pStyle w:val="TableText"/>
            </w:pPr>
            <w:r>
              <w:t xml:space="preserve">Lean on "nothing uploaded" and PowerPoint, which platforms will not copy</w:t>
            </w:r>
          </w:p>
        </w:tc>
      </w:tr>
      <w:tr>
        <w:tc>
          <w:tcPr>
            <w:tcW w:w="3120" w:type="dxa"/>
          </w:tcPr>
          <w:p>
            <w:pPr>
              <w:pStyle w:val="TableText"/>
            </w:pPr>
            <w:r>
              <w:rPr>
                <w:b/>
              </w:rPr>
              <w:t xml:space="preserve">The Present Live signal is right</w:t>
            </w:r>
          </w:p>
        </w:tc>
        <w:tc>
          <w:tcPr>
            <w:tcW w:w="3120" w:type="dxa"/>
          </w:tcPr>
          <w:p>
            <w:pPr>
              <w:pStyle w:val="TableText"/>
            </w:pPr>
            <w:r>
              <w:t xml:space="preserve">Demand is smaller than modelled; every scenario shifts right by years</w:t>
            </w:r>
          </w:p>
        </w:tc>
        <w:tc>
          <w:tcPr>
            <w:tcW w:w="3120" w:type="dxa"/>
          </w:tcPr>
          <w:p>
            <w:pPr>
              <w:pStyle w:val="TableText"/>
            </w:pPr>
            <w:r>
              <w:t xml:space="preserve">Validate with the party/event use case, which is a different buyer</w:t>
            </w:r>
          </w:p>
        </w:tc>
      </w:tr>
      <w:tr>
        <w:tc>
          <w:tcPr>
            <w:tcW w:w="3120" w:type="dxa"/>
          </w:tcPr>
          <w:p>
            <w:pPr>
              <w:pStyle w:val="TableText"/>
            </w:pPr>
            <w:r>
              <w:rPr>
                <w:b/>
              </w:rPr>
              <w:t xml:space="preserve">Egress is not fixed (Finding 1)</w:t>
            </w:r>
          </w:p>
        </w:tc>
        <w:tc>
          <w:tcPr>
            <w:tcW w:w="3120" w:type="dxa"/>
          </w:tcPr>
          <w:p>
            <w:pPr>
              <w:pStyle w:val="TableText"/>
            </w:pPr>
            <w:r>
              <w:t xml:space="preserve">Losses scale with success</w:t>
            </w:r>
          </w:p>
        </w:tc>
        <w:tc>
          <w:tcPr>
            <w:tcW w:w="3120" w:type="dxa"/>
          </w:tcPr>
          <w:p>
            <w:pPr>
              <w:pStyle w:val="TableText"/>
            </w:pPr>
            <w:r>
              <w:t xml:space="preserve">Fix before any growth spend</w:t>
            </w:r>
          </w:p>
        </w:tc>
      </w:tr>
      <w:tr>
        <w:tc>
          <w:tcPr>
            <w:tcW w:w="3120" w:type="dxa"/>
          </w:tcPr>
          <w:p>
            <w:pPr>
              <w:pStyle w:val="TableText"/>
            </w:pPr>
            <w:r>
              <w:rPr>
                <w:b/>
              </w:rPr>
              <w:t xml:space="preserve">Ad networks decline the TV placement</w:t>
            </w:r>
          </w:p>
        </w:tc>
        <w:tc>
          <w:tcPr>
            <w:tcW w:w="3120" w:type="dxa"/>
          </w:tcPr>
          <w:p>
            <w:pPr>
              <w:pStyle w:val="TableText"/>
            </w:pPr>
            <w:r>
              <w:t xml:space="preserve">A third of impressions disappear</w:t>
            </w:r>
          </w:p>
        </w:tc>
        <w:tc>
          <w:tcPr>
            <w:tcW w:w="3120" w:type="dxa"/>
          </w:tcPr>
          <w:p>
            <w:pPr>
              <w:pStyle w:val="TableText"/>
            </w:pPr>
            <w:r>
              <w:t xml:space="preserve">Model without viewer-page ads as the downside case</w:t>
            </w:r>
          </w:p>
        </w:tc>
      </w:tr>
      <w:tr>
        <w:tc>
          <w:tcPr>
            <w:tcW w:w="3120" w:type="dxa"/>
          </w:tcPr>
          <w:p>
            <w:pPr>
              <w:pStyle w:val="TableText"/>
            </w:pPr>
            <w:r>
              <w:rPr>
                <w:b/>
              </w:rPr>
              <w:t xml:space="preserve">Consent compliance</w:t>
            </w:r>
          </w:p>
        </w:tc>
        <w:tc>
          <w:tcPr>
            <w:tcW w:w="3120" w:type="dxa"/>
          </w:tcPr>
          <w:p>
            <w:pPr>
              <w:pStyle w:val="TableText"/>
            </w:pPr>
            <w:r>
              <w:t xml:space="preserve">Engineering cost, lower EEA fill</w:t>
            </w:r>
          </w:p>
        </w:tc>
        <w:tc>
          <w:tcPr>
            <w:tcW w:w="3120" w:type="dxa"/>
          </w:tcPr>
          <w:p>
            <w:pPr>
              <w:pStyle w:val="TableText"/>
            </w:pPr>
            <w:r>
              <w:t xml:space="preserve">Budget a CMP before EU traffic matters</w:t>
            </w:r>
          </w:p>
        </w:tc>
      </w:tr>
      <w:tr>
        <w:tc>
          <w:tcPr>
            <w:tcW w:w="3120" w:type="dxa"/>
          </w:tcPr>
          <w:p>
            <w:pPr>
              <w:pStyle w:val="TableText"/>
            </w:pPr>
            <w:r>
              <w:rPr>
                <w:b/>
              </w:rPr>
              <w:t xml:space="preserve">Ads undermine the privacy claim</w:t>
            </w:r>
          </w:p>
        </w:tc>
        <w:tc>
          <w:tcPr>
            <w:tcW w:w="3120" w:type="dxa"/>
          </w:tcPr>
          <w:p>
            <w:pPr>
              <w:pStyle w:val="TableText"/>
            </w:pPr>
            <w:r>
              <w:t xml:space="preserve">Weakens the one defensible position</w:t>
            </w:r>
          </w:p>
        </w:tc>
        <w:tc>
          <w:tcPr>
            <w:tcW w:w="3120" w:type="dxa"/>
          </w:tcPr>
          <w:p>
            <w:pPr>
              <w:pStyle w:val="TableText"/>
            </w:pPr>
            <w:r>
              <w:t xml:space="preserve">Keep Private tag-free; consider making all paid tiers ad-free</w:t>
            </w:r>
          </w:p>
        </w:tc>
      </w:tr>
      <w:tr>
        <w:tc>
          <w:tcPr>
            <w:tcW w:w="3120" w:type="dxa"/>
          </w:tcPr>
          <w:p>
            <w:pPr>
              <w:pStyle w:val="TableText"/>
            </w:pPr>
            <w:r>
              <w:rPr>
                <w:b/>
              </w:rPr>
              <w:t xml:space="preserve">Railway egress at $0.05/GB</w:t>
            </w:r>
          </w:p>
        </w:tc>
        <w:tc>
          <w:tcPr>
            <w:tcW w:w="3120" w:type="dxa"/>
          </w:tcPr>
          <w:p>
            <w:pPr>
              <w:pStyle w:val="TableText"/>
            </w:pPr>
            <w:r>
              <w:t xml:space="preserve">$50/TB, against $1/TB on a VPS with included bandwidth</w:t>
            </w:r>
          </w:p>
        </w:tc>
        <w:tc>
          <w:tcPr>
            <w:tcW w:w="3120" w:type="dxa"/>
          </w:tcPr>
          <w:p>
            <w:pPr>
              <w:pStyle w:val="TableText"/>
            </w:pPr>
            <w:r>
              <w:t xml:space="preserve">Cut wire bytes first (−59%, no migration); object storage for premium; move the relay above ~40,000 shows/month — see §5</w:t>
            </w:r>
          </w:p>
        </w:tc>
      </w:tr>
      <w:tr>
        <w:tc>
          <w:tcPr>
            <w:tcW w:w="3120" w:type="dxa"/>
          </w:tcPr>
          <w:p>
            <w:pPr>
              <w:pStyle w:val="TableText"/>
            </w:pPr>
            <w:r>
              <w:rPr>
                <w:b/>
              </w:rPr>
              <w:t xml:space="preserve">Viewer-page ads declined</w:t>
            </w:r>
          </w:p>
        </w:tc>
        <w:tc>
          <w:tcPr>
            <w:tcW w:w="3120" w:type="dxa"/>
          </w:tcPr>
          <w:p>
            <w:pPr>
              <w:pStyle w:val="TableText"/>
            </w:pPr>
            <w:r>
              <w:t xml:space="preserve">Egress goes from 18% to 53% of ad revenue, and a show above ~7.5 screens loses money</w:t>
            </w:r>
          </w:p>
        </w:tc>
        <w:tc>
          <w:tcPr>
            <w:tcW w:w="3120" w:type="dxa"/>
          </w:tcPr>
          <w:p>
            <w:pPr>
              <w:pStyle w:val="TableText"/>
            </w:pPr>
            <w:r>
              <w:t xml:space="preserve">Measure that placement separately from day one; it is the one threshold that does not wait for scale</w:t>
            </w:r>
          </w:p>
        </w:tc>
      </w:tr>
    </w:tbl>
    <w:p>
      <w:pPr>
        <w:pStyle w:val="Spacer"/>
      </w:pPr>
      <w:r>
        <w:t xml:space="preserve"/>
      </w:r>
    </w:p>
    <w:p>
      <w:r>
        <w:br w:type="page"/>
      </w:r>
    </w:p>
    <w:p>
      <w:pPr>
        <w:pStyle w:val="Heading2"/>
      </w:pPr>
      <w:r>
        <w:rPr>
          <w:b/>
          <w:sz w:val="32"/>
          <w:szCs w:val="32"/>
          <w:color w:val="2A2440"/>
        </w:rPr>
        <w:t xml:space="preserve">9. Sequencing</w:t>
      </w:r>
    </w:p>
    <w:p>
      <w:pPr>
        <w:pStyle w:val="ListNumber"/>
        <w:numPr>
          <w:ilvl w:val="0"/>
          <w:numId w:val="2"/>
        </w:numPr>
      </w:pPr>
      <w:r>
        <w:t xml:space="preserve">~~</w:t>
      </w:r>
      <w:r>
        <w:rPr>
          <w:b/>
        </w:rPr>
        <w:t xml:space="preserve">Fix live-mode caching.</w:t>
      </w:r>
      <w:r>
        <w:t xml:space="preserve">~~ </w:t>
      </w:r>
      <w:r>
        <w:rPr>
          <w:b/>
        </w:rPr>
        <w:t xml:space="preserve">Done.</w:t>
      </w:r>
      <w:r>
        <w:t xml:space="preserve"> A 100 MB byte budget, verified at 12 requests for 36 slide-views. This was the dominant running cost.</w:t>
      </w:r>
    </w:p>
    <w:p>
      <w:pPr>
        <w:pStyle w:val="ListNumber"/>
        <w:numPr>
          <w:ilvl w:val="0"/>
          <w:numId w:val="2"/>
        </w:numPr>
      </w:pPr>
      <w:r>
        <w:t xml:space="preserve">~~</w:t>
      </w:r>
      <w:r>
        <w:rPr>
          <w:b/>
        </w:rPr>
        <w:t xml:space="preserve">QR-code joining.</w:t>
      </w:r>
      <w:r>
        <w:t xml:space="preserve">~~ </w:t>
      </w:r>
      <w:r>
        <w:rPr>
          <w:b/>
        </w:rPr>
        <w:t xml:space="preserve">Done</w:t>
      </w:r>
      <w:r>
        <w:t xml:space="preserve">, and free rather than part of Plus. The code carries a single-use ticket, so nothing reusable is in the URL.</w:t>
      </w:r>
    </w:p>
    <w:p>
      <w:pPr>
        <w:pStyle w:val="ListNumber"/>
        <w:numPr>
          <w:ilvl w:val="0"/>
          <w:numId w:val="2"/>
        </w:numPr>
      </w:pPr>
      <w:r>
        <w:rPr>
          <w:b/>
        </w:rPr>
        <w:t xml:space="preserve">Ads and consent.</w:t>
      </w:r>
      <w:r>
        <w:t xml:space="preserve"> Landing and library placements first; treat the viewer placement as an experiment and measure it separately.</w:t>
      </w:r>
    </w:p>
    <w:p>
      <w:pPr>
        <w:pStyle w:val="ListNumber"/>
        <w:numPr>
          <w:ilvl w:val="0"/>
          <w:numId w:val="2"/>
        </w:numPr>
      </w:pPr>
      <w:r>
        <w:rPr>
          <w:b/>
        </w:rPr>
        <w:t xml:space="preserve">Vinboo Plus.</w:t>
      </w:r>
      <w:r>
        <w:t xml:space="preserve"> Server-stored shows, longer life, no ads, QR. This is the first real revenue and it answers Pixo directly.</w:t>
      </w:r>
    </w:p>
    <w:p>
      <w:pPr>
        <w:pStyle w:val="ListNumber"/>
        <w:numPr>
          <w:ilvl w:val="0"/>
          <w:numId w:val="2"/>
        </w:numPr>
      </w:pPr>
      <w:r>
        <w:rPr>
          <w:b/>
        </w:rPr>
        <w:t xml:space="preserve">Vinboo Event.</w:t>
      </w:r>
      <w:r>
        <w:t xml:space="preserve"> Cheap to build once Plus exists — it is Plus with a clock.</w:t>
      </w:r>
    </w:p>
    <w:p>
      <w:pPr>
        <w:pStyle w:val="ListNumber"/>
        <w:numPr>
          <w:ilvl w:val="0"/>
          <w:numId w:val="2"/>
        </w:numPr>
      </w:pPr>
      <w:r>
        <w:rPr>
          <w:b/>
        </w:rPr>
        <w:t xml:space="preserve">Vinboo Private.</w:t>
      </w:r>
      <w:r>
        <w:t xml:space="preserve"> The E2EE tier. Highest engineering cost, strongest position, and the only feature here that no competitor can answer quickly.</w:t>
      </w:r>
    </w:p>
    <w:p>
      <w:pPr>
        <w:pStyle w:val="ListNumber"/>
        <w:numPr>
          <w:ilvl w:val="0"/>
          <w:numId w:val="2"/>
        </w:numPr>
      </w:pPr>
      <w:r>
        <w:rPr>
          <w:b/>
        </w:rPr>
        <w:t xml:space="preserve">Video.</w:t>
      </w:r>
      <w:r>
        <w:t xml:space="preserve"> Free tier, parity, only if the party use case is being taken seriously.</w:t>
      </w:r>
    </w:p>
    <w:p>
      <w:r>
        <w:br w:type="page"/>
      </w:r>
    </w:p>
    <w:p>
      <w:pPr>
        <w:pStyle w:val="Heading2"/>
      </w:pPr>
      <w:r>
        <w:rPr>
          <w:b/>
          <w:sz w:val="32"/>
          <w:szCs w:val="32"/>
          <w:color w:val="2A2440"/>
        </w:rPr>
        <w:t xml:space="preserve">10. Assumptions register</w:t>
      </w:r>
    </w:p>
    <w:p>
      <w:pPr/>
      <w:r>
        <w:t xml:space="preserve">Replace these with real data as soon as any exists; the plan is only as good as they are.</w:t>
      </w:r>
    </w:p>
    <w:p>
      <w:pPr/>
      <w:r>
        <w:rPr>
          <w:b/>
        </w:rPr>
        <w:t xml:space="preserve">Measured in this repository:</w:t>
      </w:r>
      <w:r>
        <w:t xml:space="preserve"> wire format 2560px/JPEG q0.9; 145 KB median for 12 real photographs at 2048px WebP q82; ~2.9 KB session bookkeeping per show; relay cache of 6 frames dropped after 5 minutes idle; live-mode client cache of 6 slides.</w:t>
      </w:r>
    </w:p>
    <w:p>
      <w:pPr/>
      <w:r>
        <w:rPr>
          <w:b/>
        </w:rPr>
        <w:t xml:space="preserve">Sourced:</w:t>
      </w:r>
      <w:r>
        <w:t xml:space="preserve"> Railway, Cloudflare R2, GitHub and Mentimeter pricing; Mentimeter's 270M/14M participant-to-presenter figures and $38M revenue; AdSense RPM ranges; consumer freemium conversion benchmarks; Present Live's retirement.</w:t>
      </w:r>
    </w:p>
    <w:p>
      <w:pPr/>
      <w:r>
        <w:rPr>
          <w:b/>
        </w:rPr>
        <w:t xml:space="preserve">Assumed, and least reliable:</w:t>
      </w:r>
      <w:r>
        <w:t xml:space="preserve"> 350 KB per slide on the wire — the egress thresholds in §5 move in direct proportion to it, so it is the single number most worth replacing with a real measurement of real photographs; $2.50 blended RPM; 2.5% conversion; 4 screens per show; 40 slides per show; 2 shows per presenter per month; $200/month compute; and every user-count figure in §7 — those are scenarios chosen to show the shape of the model, not forecasts.</w:t>
      </w:r>
    </w:p>
    <w:p>
      <w:pPr/>
      <w:r>
        <w:rPr>
          <w:b/>
        </w:rPr>
        <w:t xml:space="preserve">Unknown and material:</w:t>
      </w:r>
      <w:r>
        <w:t xml:space="preserve"> customer acquisition cost, retention, and whether anyone wants this at all. Nothing in this plan addresses distribution, and distribution is the thing most likely to decide the outcome.</w:t>
      </w:r>
    </w:p>
    <w:p>
      <w:r>
        <w:br w:type="page"/>
      </w:r>
    </w:p>
    <w:p>
      <w:pPr>
        <w:pStyle w:val="Heading2"/>
      </w:pPr>
      <w:r>
        <w:rPr>
          <w:b/>
          <w:sz w:val="32"/>
          <w:szCs w:val="32"/>
          <w:color w:val="2A2440"/>
        </w:rPr>
        <w:t xml:space="preserve">Sources</w:t>
      </w:r>
    </w:p>
    <w:p>
      <w:pPr>
        <w:pStyle w:val="ListBullet"/>
        <w:numPr>
          <w:ilvl w:val="0"/>
          <w:numId w:val="1"/>
        </w:numPr>
      </w:pPr>
      <w:r>
        <w:t xml:space="preserve">Railway pricing</w:t>
      </w:r>
    </w:p>
    <w:p>
      <w:pPr>
        <w:pStyle w:val="ListBullet"/>
        <w:numPr>
          <w:ilvl w:val="0"/>
          <w:numId w:val="1"/>
        </w:numPr>
      </w:pPr>
      <w:r>
        <w:t xml:space="preserve">Railway plans and per-unit rates</w:t>
      </w:r>
      <w:r>
        <w:t xml:space="preserve"> (egress only, no included allowance)</w:t>
      </w:r>
    </w:p>
    <w:p>
      <w:pPr>
        <w:pStyle w:val="ListBullet"/>
        <w:numPr>
          <w:ilvl w:val="0"/>
          <w:numId w:val="1"/>
        </w:numPr>
      </w:pPr>
      <w:r>
        <w:t xml:space="preserve">Hetzner Cloud</w:t>
      </w:r>
      <w:r>
        <w:t xml:space="preserve"> — 20 TB included, then ~$1/TB, per </w:t>
      </w:r>
      <w:r>
        <w:t xml:space="preserve">2026 pricing summaries</w:t>
      </w:r>
    </w:p>
    <w:p>
      <w:pPr>
        <w:pStyle w:val="ListBullet"/>
        <w:numPr>
          <w:ilvl w:val="0"/>
          <w:numId w:val="1"/>
        </w:numPr>
      </w:pPr>
      <w:r>
        <w:t xml:space="preserve">Cloudflare R2 pricing</w:t>
      </w:r>
    </w:p>
    <w:p>
      <w:pPr>
        <w:pStyle w:val="ListBullet"/>
        <w:numPr>
          <w:ilvl w:val="0"/>
          <w:numId w:val="1"/>
        </w:numPr>
      </w:pPr>
      <w:r>
        <w:t xml:space="preserve">GitHub pricing</w:t>
      </w:r>
    </w:p>
    <w:p>
      <w:pPr>
        <w:pStyle w:val="ListBullet"/>
        <w:numPr>
          <w:ilvl w:val="0"/>
          <w:numId w:val="1"/>
        </w:numPr>
      </w:pPr>
      <w:r>
        <w:t xml:space="preserve">Mentimeter plans</w:t>
      </w:r>
    </w:p>
    <w:p>
      <w:pPr>
        <w:pStyle w:val="ListBullet"/>
        <w:numPr>
          <w:ilvl w:val="0"/>
          <w:numId w:val="1"/>
        </w:numPr>
      </w:pPr>
      <w:r>
        <w:t xml:space="preserve">Mentimeter revenue and customer figures — GetLatka</w:t>
      </w:r>
    </w:p>
    <w:p>
      <w:pPr>
        <w:pStyle w:val="ListBullet"/>
        <w:numPr>
          <w:ilvl w:val="0"/>
          <w:numId w:val="1"/>
        </w:numPr>
      </w:pPr>
      <w:r>
        <w:t xml:space="preserve">Mentimeter — Wikipedia</w:t>
      </w:r>
      <w:r>
        <w:t xml:space="preserve"> (270M participants / 14M presenters, end of 2021)</w:t>
      </w:r>
    </w:p>
    <w:p>
      <w:pPr>
        <w:pStyle w:val="ListBullet"/>
        <w:numPr>
          <w:ilvl w:val="0"/>
          <w:numId w:val="1"/>
        </w:numPr>
      </w:pPr>
      <w:r>
        <w:t xml:space="preserve">Freemium conversion benchmarks — Artisan Strategies</w:t>
      </w:r>
    </w:p>
    <w:p>
      <w:pPr>
        <w:pStyle w:val="ListBullet"/>
        <w:numPr>
          <w:ilvl w:val="0"/>
          <w:numId w:val="1"/>
        </w:numPr>
      </w:pPr>
      <w:r>
        <w:t xml:space="preserve">The 2026 free-to-paid conversion report — Growth Unhinged</w:t>
      </w:r>
    </w:p>
    <w:p>
      <w:pPr>
        <w:pStyle w:val="ListBullet"/>
        <w:numPr>
          <w:ilvl w:val="0"/>
          <w:numId w:val="1"/>
        </w:numPr>
      </w:pPr>
      <w:r>
        <w:t xml:space="preserve">Display ad RPM by niche 2026 — ToolSignal</w:t>
      </w:r>
    </w:p>
    <w:p>
      <w:pPr>
        <w:pStyle w:val="ListBullet"/>
        <w:numPr>
          <w:ilvl w:val="0"/>
          <w:numId w:val="1"/>
        </w:numPr>
      </w:pPr>
      <w:r>
        <w:t xml:space="preserve">AdSense RPM benchmarks — Adstimate</w:t>
      </w:r>
    </w:p>
    <w:p>
      <w:pPr>
        <w:pStyle w:val="ListBullet"/>
        <w:numPr>
          <w:ilvl w:val="0"/>
          <w:numId w:val="1"/>
        </w:numPr>
      </w:pPr>
      <w:r>
        <w:t xml:space="preserve">Competitor pricing and the Present Live retirement: see </w:t>
      </w:r>
      <w:r>
        <w:t xml:space="preserve">competitive-analysis.md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Business plan — Vinboo</dc:title>
  <dc:creator>Vinboo</dc:creator>
  <cp:lastModifiedBy>Vinboo</cp:lastModifiedBy>
  <dcterms:created xsi:type="dcterms:W3CDTF">2026-08-12T13:13:24Z</dcterms:created>
  <dcterms:modified xsi:type="dcterms:W3CDTF">2026-08-12T13:13:24Z</dcterms:modified>
</cp:coreProperties>
</file>