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pPr>
      <w:r>
        <w:rPr>
          <w:b/>
          <w:sz w:val="44"/>
          <w:szCs w:val="44"/>
          <w:color w:val="2A2440"/>
        </w:rPr>
        <w:t xml:space="preserve">Vinboo — Architecture Review for Scale</w:t>
      </w:r>
    </w:p>
    <w:p>
      <w:pPr/>
      <w:r>
        <w:rPr>
          <w:b/>
        </w:rPr>
        <w:t xml:space="preserve">Date:</w:t>
      </w:r>
      <w:r>
        <w:t xml:space="preserve"> 17 August 2026 </w:t>
      </w:r>
      <w:r>
        <w:rPr>
          <w:b/>
        </w:rPr>
        <w:t xml:space="preserve">Scope:</w:t>
      </w:r>
      <w:r>
        <w:t xml:space="preserve"> the deployed relay architecture, evaluated against the adoption curve in the five-year business plan. </w:t>
      </w:r>
      <w:r>
        <w:rPr>
          <w:b/>
        </w:rPr>
        <w:t xml:space="preserve">Reviewed against:</w:t>
      </w:r>
      <w:r>
        <w:t xml:space="preserve"> </w:t>
      </w:r>
      <w:r>
        <w:rPr>
          <w:rFonts w:ascii="Consolas" w:hAnsi="Consolas"/>
          <w:sz w:val="18"/>
        </w:rPr>
        <w:t xml:space="preserve">lib/broadcast.js</w:t>
      </w:r>
      <w:r>
        <w:t xml:space="preserve">, </w:t>
      </w:r>
      <w:r>
        <w:rPr>
          <w:rFonts w:ascii="Consolas" w:hAnsi="Consolas"/>
          <w:sz w:val="18"/>
        </w:rPr>
        <w:t xml:space="preserve">server.js</w:t>
      </w:r>
      <w:r>
        <w:t xml:space="preserve">, </w:t>
      </w:r>
      <w:r>
        <w:rPr>
          <w:rFonts w:ascii="Consolas" w:hAnsi="Consolas"/>
          <w:sz w:val="18"/>
        </w:rPr>
        <w:t xml:space="preserve">lib/db.js</w:t>
      </w:r>
      <w:r>
        <w:t xml:space="preserve">, </w:t>
      </w:r>
      <w:r>
        <w:rPr>
          <w:rFonts w:ascii="Consolas" w:hAnsi="Consolas"/>
          <w:sz w:val="18"/>
        </w:rPr>
        <w:t xml:space="preserve">migrations/0001_init.sql</w:t>
      </w:r>
      <w:r>
        <w:t xml:space="preserve">, and §7 of the business plan.</w:t>
      </w:r>
    </w:p>
    <w:p>
      <w:r>
        <w:br w:type="page"/>
      </w:r>
    </w:p>
    <w:p>
      <w:pPr>
        <w:pStyle w:val="Heading2"/>
      </w:pPr>
      <w:r>
        <w:rPr>
          <w:b/>
          <w:sz w:val="32"/>
          <w:szCs w:val="32"/>
          <w:color w:val="2A2440"/>
        </w:rPr>
        <w:t xml:space="preserve">1. Summary</w:t>
      </w:r>
    </w:p>
    <w:p>
      <w:pPr/>
      <w:r>
        <w:t xml:space="preserve">The current build is a correct, well-tested single-node system, and that was the right thing to build first. It is not yet a system that survives its own business plan.</w:t>
      </w:r>
    </w:p>
    <w:p>
      <w:pPr/>
      <w:r>
        <w:t xml:space="preserve">One Node process holds every broadcast in resident memory. </w:t>
      </w:r>
      <w:r>
        <w:rPr>
          <w:rFonts w:ascii="Consolas" w:hAnsi="Consolas"/>
          <w:sz w:val="18"/>
        </w:rPr>
        <w:t xml:space="preserve">Sessions</w:t>
      </w:r>
      <w:r>
        <w:t xml:space="preserve"> in </w:t>
      </w:r>
      <w:r>
        <w:rPr>
          <w:rFonts w:ascii="Consolas" w:hAnsi="Consolas"/>
          <w:sz w:val="18"/>
        </w:rPr>
        <w:t xml:space="preserve">lib/broadcast.js</w:t>
      </w:r>
      <w:r>
        <w:t xml:space="preserve"> is a plain </w:t>
      </w:r>
      <w:r>
        <w:rPr>
          <w:rFonts w:ascii="Consolas" w:hAnsi="Consolas"/>
          <w:sz w:val="18"/>
        </w:rPr>
        <w:t xml:space="preserve">Map</w:t>
      </w:r>
      <w:r>
        <w:t xml:space="preserve">, and the database schema contains only </w:t>
      </w:r>
      <w:r>
        <w:rPr>
          <w:rFonts w:ascii="Consolas" w:hAnsi="Consolas"/>
          <w:sz w:val="18"/>
        </w:rPr>
        <w:t xml:space="preserve">users</w:t>
      </w:r>
      <w:r>
        <w:t xml:space="preserve">, </w:t>
      </w:r>
      <w:r>
        <w:rPr>
          <w:rFonts w:ascii="Consolas" w:hAnsi="Consolas"/>
          <w:sz w:val="18"/>
        </w:rPr>
        <w:t xml:space="preserve">app_settings</w:t>
      </w:r>
      <w:r>
        <w:t xml:space="preserve"> and </w:t>
      </w:r>
      <w:r>
        <w:rPr>
          <w:rFonts w:ascii="Consolas" w:hAnsi="Consolas"/>
          <w:sz w:val="18"/>
        </w:rPr>
        <w:t xml:space="preserve">feedback</w:t>
      </w:r>
      <w:r>
        <w:t xml:space="preserve"> — </w:t>
      </w:r>
      <w:r>
        <w:rPr>
          <w:b/>
        </w:rPr>
        <w:t xml:space="preserve">no show state is persisted anywhere.</w:t>
      </w:r>
      <w:r>
        <w:t xml:space="preserve"> That single fact drives most of what follows: it caps the service at one instance, at 200 concurrent shows, and at the lifetime of a single container process.</w:t>
      </w:r>
    </w:p>
    <w:p>
      <w:pPr/>
      <w:r>
        <w:t xml:space="preserve">None of the remedies are expensive. The fix is routing and a small amount of persistence, not a rewrite, and it is cheap precisely because the state model is clean and the code is small — 2,243 lines across the server and its libraries.</w:t>
      </w:r>
    </w:p>
    <w:p>
      <w:pPr>
        <w:pStyle w:val="Heading3"/>
      </w:pPr>
      <w:r>
        <w:rPr>
          <w:b/>
          <w:sz w:val="26"/>
          <w:szCs w:val="26"/>
          <w:color w:val="3B3357"/>
        </w:rPr>
        <w:t xml:space="preserve">Findings at a glance</w:t>
      </w:r>
    </w:p>
    <w:tbl>
      <w:tblPr>
        <w:tblStyle w:val="TableGridLight"/>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2340"/>
        <w:gridCol w:w="2340"/>
        <w:gridCol w:w="2340"/>
        <w:gridCol w:w="2340"/>
      </w:tblGrid>
      <w:tr>
        <w:trPr>
          <w:tblHeader/>
        </w:trPr>
        <w:tc>
          <w:tcPr>
            <w:tcW w:w="2340" w:type="dxa"/>
            <w:shd w:val="clear" w:fill="F2F2F2"/>
          </w:tcPr>
          <w:p>
            <w:pPr>
              <w:pStyle w:val="TableText"/>
            </w:pPr>
            <w:r>
              <w:rPr>
                <w:b/>
              </w:rPr>
              <w:t xml:space="preserve">#</w:t>
            </w:r>
          </w:p>
        </w:tc>
        <w:tc>
          <w:tcPr>
            <w:tcW w:w="2340" w:type="dxa"/>
            <w:shd w:val="clear" w:fill="F2F2F2"/>
          </w:tcPr>
          <w:p>
            <w:pPr>
              <w:pStyle w:val="TableText"/>
            </w:pPr>
            <w:r>
              <w:rPr>
                <w:b/>
              </w:rPr>
              <w:t xml:space="preserve">Finding</w:t>
            </w:r>
          </w:p>
        </w:tc>
        <w:tc>
          <w:tcPr>
            <w:tcW w:w="2340" w:type="dxa"/>
            <w:shd w:val="clear" w:fill="F2F2F2"/>
          </w:tcPr>
          <w:p>
            <w:pPr>
              <w:pStyle w:val="TableText"/>
            </w:pPr>
            <w:r>
              <w:rPr>
                <w:b/>
              </w:rPr>
              <w:t xml:space="preserve">Severity</w:t>
            </w:r>
          </w:p>
        </w:tc>
        <w:tc>
          <w:tcPr>
            <w:tcW w:w="2340" w:type="dxa"/>
            <w:shd w:val="clear" w:fill="F2F2F2"/>
          </w:tcPr>
          <w:p>
            <w:pPr>
              <w:pStyle w:val="TableText"/>
            </w:pPr>
            <w:r>
              <w:rPr>
                <w:b/>
              </w:rPr>
              <w:t xml:space="preserve">Effort to fix</w:t>
            </w:r>
          </w:p>
        </w:tc>
      </w:tr>
      <w:tr>
        <w:tc>
          <w:tcPr>
            <w:tcW w:w="2340" w:type="dxa"/>
          </w:tcPr>
          <w:p>
            <w:pPr>
              <w:pStyle w:val="TableText"/>
            </w:pPr>
            <w:r>
              <w:t xml:space="preserve">1</w:t>
            </w:r>
          </w:p>
        </w:tc>
        <w:tc>
          <w:tcPr>
            <w:tcW w:w="2340" w:type="dxa"/>
          </w:tcPr>
          <w:p>
            <w:pPr>
              <w:pStyle w:val="TableText"/>
            </w:pPr>
            <w:r>
              <w:t xml:space="preserve">Cannot run more than one instance</w:t>
            </w:r>
          </w:p>
        </w:tc>
        <w:tc>
          <w:tcPr>
            <w:tcW w:w="2340" w:type="dxa"/>
          </w:tcPr>
          <w:p>
            <w:pPr>
              <w:pStyle w:val="TableText"/>
            </w:pPr>
            <w:r>
              <w:t xml:space="preserve">Blocking</w:t>
            </w:r>
          </w:p>
        </w:tc>
        <w:tc>
          <w:tcPr>
            <w:tcW w:w="2340" w:type="dxa"/>
          </w:tcPr>
          <w:p>
            <w:pPr>
              <w:pStyle w:val="TableText"/>
            </w:pPr>
            <w:r>
              <w:t xml:space="preserve">Days</w:t>
            </w:r>
          </w:p>
        </w:tc>
      </w:tr>
      <w:tr>
        <w:tc>
          <w:tcPr>
            <w:tcW w:w="2340" w:type="dxa"/>
          </w:tcPr>
          <w:p>
            <w:pPr>
              <w:pStyle w:val="TableText"/>
            </w:pPr>
            <w:r>
              <w:t xml:space="preserve">2</w:t>
            </w:r>
          </w:p>
        </w:tc>
        <w:tc>
          <w:tcPr>
            <w:tcW w:w="2340" w:type="dxa"/>
          </w:tcPr>
          <w:p>
            <w:pPr>
              <w:pStyle w:val="TableText"/>
            </w:pPr>
            <w:r>
              <w:t xml:space="preserve">200-session cap breached by Year 3 model</w:t>
            </w:r>
          </w:p>
        </w:tc>
        <w:tc>
          <w:tcPr>
            <w:tcW w:w="2340" w:type="dxa"/>
          </w:tcPr>
          <w:p>
            <w:pPr>
              <w:pStyle w:val="TableText"/>
            </w:pPr>
            <w:r>
              <w:t xml:space="preserve">Blocking</w:t>
            </w:r>
          </w:p>
        </w:tc>
        <w:tc>
          <w:tcPr>
            <w:tcW w:w="2340" w:type="dxa"/>
          </w:tcPr>
          <w:p>
            <w:pPr>
              <w:pStyle w:val="TableText"/>
            </w:pPr>
            <w:r>
              <w:t xml:space="preserve">Hours, after 1</w:t>
            </w:r>
          </w:p>
        </w:tc>
      </w:tr>
      <w:tr>
        <w:tc>
          <w:tcPr>
            <w:tcW w:w="2340" w:type="dxa"/>
          </w:tcPr>
          <w:p>
            <w:pPr>
              <w:pStyle w:val="TableText"/>
            </w:pPr>
            <w:r>
              <w:t xml:space="preserve">3</w:t>
            </w:r>
          </w:p>
        </w:tc>
        <w:tc>
          <w:tcPr>
            <w:tcW w:w="2340" w:type="dxa"/>
          </w:tcPr>
          <w:p>
            <w:pPr>
              <w:pStyle w:val="TableText"/>
            </w:pPr>
            <w:r>
              <w:t xml:space="preserve">Every deploy destroys every running show</w:t>
            </w:r>
          </w:p>
        </w:tc>
        <w:tc>
          <w:tcPr>
            <w:tcW w:w="2340" w:type="dxa"/>
          </w:tcPr>
          <w:p>
            <w:pPr>
              <w:pStyle w:val="TableText"/>
            </w:pPr>
            <w:r>
              <w:t xml:space="preserve">Blocking</w:t>
            </w:r>
          </w:p>
        </w:tc>
        <w:tc>
          <w:tcPr>
            <w:tcW w:w="2340" w:type="dxa"/>
          </w:tcPr>
          <w:p>
            <w:pPr>
              <w:pStyle w:val="TableText"/>
            </w:pPr>
            <w:r>
              <w:t xml:space="preserve">Days</w:t>
            </w:r>
          </w:p>
        </w:tc>
      </w:tr>
      <w:tr>
        <w:tc>
          <w:tcPr>
            <w:tcW w:w="2340" w:type="dxa"/>
          </w:tcPr>
          <w:p>
            <w:pPr>
              <w:pStyle w:val="TableText"/>
            </w:pPr>
            <w:r>
              <w:t xml:space="preserve">4</w:t>
            </w:r>
          </w:p>
        </w:tc>
        <w:tc>
          <w:tcPr>
            <w:tcW w:w="2340" w:type="dxa"/>
          </w:tcPr>
          <w:p>
            <w:pPr>
              <w:pStyle w:val="TableText"/>
            </w:pPr>
            <w:r>
              <w:t xml:space="preserve">Conversion tier would stall the relay</w:t>
            </w:r>
          </w:p>
        </w:tc>
        <w:tc>
          <w:tcPr>
            <w:tcW w:w="2340" w:type="dxa"/>
          </w:tcPr>
          <w:p>
            <w:pPr>
              <w:pStyle w:val="TableText"/>
            </w:pPr>
            <w:r>
              <w:t xml:space="preserve">Blocking, pre-emptive</w:t>
            </w:r>
          </w:p>
        </w:tc>
        <w:tc>
          <w:tcPr>
            <w:tcW w:w="2340" w:type="dxa"/>
          </w:tcPr>
          <w:p>
            <w:pPr>
              <w:pStyle w:val="TableText"/>
            </w:pPr>
            <w:r>
              <w:t xml:space="preserve">Design decision</w:t>
            </w:r>
          </w:p>
        </w:tc>
      </w:tr>
      <w:tr>
        <w:tc>
          <w:tcPr>
            <w:tcW w:w="2340" w:type="dxa"/>
          </w:tcPr>
          <w:p>
            <w:pPr>
              <w:pStyle w:val="TableText"/>
            </w:pPr>
            <w:r>
              <w:t xml:space="preserve">5</w:t>
            </w:r>
          </w:p>
        </w:tc>
        <w:tc>
          <w:tcPr>
            <w:tcW w:w="2340" w:type="dxa"/>
          </w:tcPr>
          <w:p>
            <w:pPr>
              <w:pStyle w:val="TableText"/>
            </w:pPr>
            <w:r>
              <w:t xml:space="preserve">Socket volume and denial-of-service surface</w:t>
            </w:r>
          </w:p>
        </w:tc>
        <w:tc>
          <w:tcPr>
            <w:tcW w:w="2340" w:type="dxa"/>
          </w:tcPr>
          <w:p>
            <w:pPr>
              <w:pStyle w:val="TableText"/>
            </w:pPr>
            <w:r>
              <w:t xml:space="preserve">Serious</w:t>
            </w:r>
          </w:p>
        </w:tc>
        <w:tc>
          <w:tcPr>
            <w:tcW w:w="2340" w:type="dxa"/>
          </w:tcPr>
          <w:p>
            <w:pPr>
              <w:pStyle w:val="TableText"/>
            </w:pPr>
            <w:r>
              <w:t xml:space="preserve">Days</w:t>
            </w:r>
          </w:p>
        </w:tc>
      </w:tr>
      <w:tr>
        <w:tc>
          <w:tcPr>
            <w:tcW w:w="2340" w:type="dxa"/>
          </w:tcPr>
          <w:p>
            <w:pPr>
              <w:pStyle w:val="TableText"/>
            </w:pPr>
            <w:r>
              <w:t xml:space="preserve">6</w:t>
            </w:r>
          </w:p>
        </w:tc>
        <w:tc>
          <w:tcPr>
            <w:tcW w:w="2340" w:type="dxa"/>
          </w:tcPr>
          <w:p>
            <w:pPr>
              <w:pStyle w:val="TableText"/>
            </w:pPr>
            <w:r>
              <w:t xml:space="preserve">Per-session cache budget is 64 MB</w:t>
            </w:r>
          </w:p>
        </w:tc>
        <w:tc>
          <w:tcPr>
            <w:tcW w:w="2340" w:type="dxa"/>
          </w:tcPr>
          <w:p>
            <w:pPr>
              <w:pStyle w:val="TableText"/>
            </w:pPr>
            <w:r>
              <w:t xml:space="preserve">Moderate</w:t>
            </w:r>
          </w:p>
        </w:tc>
        <w:tc>
          <w:tcPr>
            <w:tcW w:w="2340" w:type="dxa"/>
          </w:tcPr>
          <w:p>
            <w:pPr>
              <w:pStyle w:val="TableText"/>
            </w:pPr>
            <w:r>
              <w:t xml:space="preserve">Hours</w:t>
            </w:r>
          </w:p>
        </w:tc>
      </w:tr>
    </w:tbl>
    <w:p>
      <w:pPr>
        <w:pStyle w:val="Spacer"/>
      </w:pPr>
      <w:r>
        <w:t xml:space="preserve"/>
      </w:r>
    </w:p>
    <w:p>
      <w:r>
        <w:br w:type="page"/>
      </w:r>
    </w:p>
    <w:p>
      <w:pPr>
        <w:pStyle w:val="Heading2"/>
      </w:pPr>
      <w:r>
        <w:rPr>
          <w:b/>
          <w:sz w:val="32"/>
          <w:szCs w:val="32"/>
          <w:color w:val="2A2440"/>
        </w:rPr>
        <w:t xml:space="preserve">2. What the architecture is</w:t>
      </w:r>
    </w:p>
    <w:p>
      <w:pPr/>
      <w:r>
        <w:t xml:space="preserve">A viewer asks for a slide. Rather than answering, the server parks that request, hands the job to the presenter's browser on its long-poll, and fans the single reply out to everyone waiting on the same slide. Bytes exist in server memory only while in flight.</w:t>
      </w:r>
    </w:p>
    <w:p>
      <w:pPr/>
      <w:r>
        <w:t xml:space="preserve">This is an elegant design and it is the source of the product's commercial advantage. It is also, as built, inseparable from a single process: the parked request and the presenter's poll must meet </w:t>
      </w:r>
      <w:r>
        <w:rPr>
          <w:b/>
        </w:rPr>
        <w:t xml:space="preserve">inside the same instance's memory.</w:t>
      </w:r>
    </w:p>
    <w:p>
      <w:r>
        <w:br w:type="page"/>
      </w:r>
    </w:p>
    <w:p>
      <w:pPr>
        <w:pStyle w:val="Heading2"/>
      </w:pPr>
      <w:r>
        <w:rPr>
          <w:b/>
          <w:sz w:val="32"/>
          <w:szCs w:val="32"/>
          <w:color w:val="2A2440"/>
        </w:rPr>
        <w:t xml:space="preserve">3. Blocking issues</w:t>
      </w:r>
    </w:p>
    <w:p>
      <w:pPr>
        <w:pStyle w:val="Heading3"/>
      </w:pPr>
      <w:r>
        <w:rPr>
          <w:b/>
          <w:sz w:val="26"/>
          <w:szCs w:val="26"/>
          <w:color w:val="3B3357"/>
        </w:rPr>
        <w:t xml:space="preserve">Finding 1 — The service cannot run more than one instance</w:t>
      </w:r>
    </w:p>
    <w:p>
      <w:pPr/>
      <w:r>
        <w:t xml:space="preserve">This is the ceiling on everything else.</w:t>
      </w:r>
    </w:p>
    <w:p>
      <w:pPr/>
      <w:r>
        <w:t xml:space="preserve">Put a second container behind an ordinary load balancer and roughly half of all requests land on an instance that has never heard of the show. There is no shared state, no pub/sub, and no request affinity. This is not a scaling problem to be addressed later; it is a scaling impossibility until routing changes.</w:t>
      </w:r>
    </w:p>
    <w:p>
      <w:pPr/>
      <w:r>
        <w:t xml:space="preserve">Every other capacity number in this review is therefore a </w:t>
      </w:r>
      <w:r>
        <w:rPr>
          <w:b/>
        </w:rPr>
        <w:t xml:space="preserve">per-service</w:t>
      </w:r>
      <w:r>
        <w:t xml:space="preserve"> limit, not a per-instance one.</w:t>
      </w:r>
    </w:p>
    <w:p>
      <w:pPr>
        <w:pStyle w:val="Heading3"/>
      </w:pPr>
      <w:r>
        <w:rPr>
          <w:b/>
          <w:sz w:val="26"/>
          <w:szCs w:val="26"/>
          <w:color w:val="3B3357"/>
        </w:rPr>
        <w:t xml:space="preserve">Finding 2 — The 200-session cap is breached by the plan's own Year 3 figures</w:t>
      </w:r>
    </w:p>
    <w:p>
      <w:pPr/>
      <w:r>
        <w:rPr>
          <w:rFonts w:ascii="Consolas" w:hAnsi="Consolas"/>
          <w:sz w:val="18"/>
        </w:rPr>
        <w:t xml:space="preserve">MAX_SESSIONS = 200</w:t>
      </w:r>
      <w:r>
        <w:t xml:space="preserve"> in </w:t>
      </w:r>
      <w:r>
        <w:rPr>
          <w:rFonts w:ascii="Consolas" w:hAnsi="Consolas"/>
          <w:sz w:val="18"/>
        </w:rPr>
        <w:t xml:space="preserve">lib/broadcast.js</w:t>
      </w:r>
      <w:r>
        <w:t xml:space="preserve"> throws a 503 — "Too many live slideshows right now" — globally across the service.</w:t>
      </w:r>
    </w:p>
    <w:p>
      <w:pPr/>
      <w:r>
        <w:t xml:space="preserve">The business plan projects </w:t>
      </w:r>
      <w:r>
        <w:rPr>
          <w:b/>
        </w:rPr>
        <w:t xml:space="preserve">500,000 shows per month</w:t>
      </w:r>
      <w:r>
        <w:t xml:space="preserve"> at Year 3. Assuming a 30-minute average show [assumed]:</w:t>
      </w:r>
    </w:p>
    <w:tbl>
      <w:tblPr>
        <w:tblStyle w:val="TableGridLight"/>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4680"/>
        <w:gridCol w:w="4680"/>
      </w:tblGrid>
      <w:tr>
        <w:trPr>
          <w:tblHeader/>
        </w:trPr>
        <w:tc>
          <w:tcPr>
            <w:tcW w:w="4680" w:type="dxa"/>
            <w:shd w:val="clear" w:fill="F2F2F2"/>
          </w:tcPr>
          <w:p>
            <w:pPr>
              <w:pStyle w:val="TableText"/>
            </w:pPr>
            <w:r>
              <w:rPr>
                <w:b/>
              </w:rPr>
              <w:t xml:space="preserve">Step</w:t>
            </w:r>
          </w:p>
        </w:tc>
        <w:tc>
          <w:tcPr>
            <w:tcW w:w="4680" w:type="dxa"/>
            <w:shd w:val="clear" w:fill="F2F2F2"/>
          </w:tcPr>
          <w:p>
            <w:pPr>
              <w:pStyle w:val="TableText"/>
            </w:pPr>
            <w:r>
              <w:rPr>
                <w:b/>
              </w:rPr>
              <w:t xml:space="preserve">Value</w:t>
            </w:r>
          </w:p>
        </w:tc>
      </w:tr>
      <w:tr>
        <w:tc>
          <w:tcPr>
            <w:tcW w:w="4680" w:type="dxa"/>
          </w:tcPr>
          <w:p>
            <w:pPr>
              <w:pStyle w:val="TableText"/>
            </w:pPr>
            <w:r>
              <w:t xml:space="preserve">Shows per month</w:t>
            </w:r>
          </w:p>
        </w:tc>
        <w:tc>
          <w:tcPr>
            <w:tcW w:w="4680" w:type="dxa"/>
          </w:tcPr>
          <w:p>
            <w:pPr>
              <w:pStyle w:val="TableText"/>
            </w:pPr>
            <w:r>
              <w:t xml:space="preserve">500,000</w:t>
            </w:r>
          </w:p>
        </w:tc>
      </w:tr>
      <w:tr>
        <w:tc>
          <w:tcPr>
            <w:tcW w:w="4680" w:type="dxa"/>
          </w:tcPr>
          <w:p>
            <w:pPr>
              <w:pStyle w:val="TableText"/>
            </w:pPr>
            <w:r>
              <w:t xml:space="preserve">Show-hours per month at 30 min</w:t>
            </w:r>
          </w:p>
        </w:tc>
        <w:tc>
          <w:tcPr>
            <w:tcW w:w="4680" w:type="dxa"/>
          </w:tcPr>
          <w:p>
            <w:pPr>
              <w:pStyle w:val="TableText"/>
            </w:pPr>
            <w:r>
              <w:t xml:space="preserve">250,000</w:t>
            </w:r>
          </w:p>
        </w:tc>
      </w:tr>
      <w:tr>
        <w:tc>
          <w:tcPr>
            <w:tcW w:w="4680" w:type="dxa"/>
          </w:tcPr>
          <w:p>
            <w:pPr>
              <w:pStyle w:val="TableText"/>
            </w:pPr>
            <w:r>
              <w:t xml:space="preserve">Hours in a month</w:t>
            </w:r>
          </w:p>
        </w:tc>
        <w:tc>
          <w:tcPr>
            <w:tcW w:w="4680" w:type="dxa"/>
          </w:tcPr>
          <w:p>
            <w:pPr>
              <w:pStyle w:val="TableText"/>
            </w:pPr>
            <w:r>
              <w:t xml:space="preserve">730</w:t>
            </w:r>
          </w:p>
        </w:tc>
      </w:tr>
      <w:tr>
        <w:tc>
          <w:tcPr>
            <w:tcW w:w="4680" w:type="dxa"/>
          </w:tcPr>
          <w:p>
            <w:pPr>
              <w:pStyle w:val="TableText"/>
            </w:pPr>
            <w:r>
              <w:rPr>
                <w:b/>
              </w:rPr>
              <w:t xml:space="preserve">Mean concurrent sessions</w:t>
            </w:r>
          </w:p>
        </w:tc>
        <w:tc>
          <w:tcPr>
            <w:tcW w:w="4680" w:type="dxa"/>
          </w:tcPr>
          <w:p>
            <w:pPr>
              <w:pStyle w:val="TableText"/>
            </w:pPr>
            <w:r>
              <w:rPr>
                <w:b/>
              </w:rPr>
              <w:t xml:space="preserve">342</w:t>
            </w:r>
          </w:p>
        </w:tc>
      </w:tr>
    </w:tbl>
    <w:p>
      <w:pPr>
        <w:pStyle w:val="Spacer"/>
      </w:pPr>
      <w:r>
        <w:t xml:space="preserve"/>
      </w:r>
    </w:p>
    <w:p>
      <w:pPr/>
      <w:r>
        <w:t xml:space="preserve">That exceeds the cap at the </w:t>
      </w:r>
      <w:r>
        <w:rPr>
          <w:i/>
        </w:rPr>
        <w:t xml:space="preserve">mean</w:t>
      </w:r>
      <w:r>
        <w:t xml:space="preserve">, before any allowance for peaking. Consumer traffic concentrates in evenings and at weekends; a 5× peak-to-mean ratio [assumed] puts the busy hour near 1,700.</w:t>
      </w:r>
    </w:p>
    <w:p>
      <w:pPr/>
      <w:r>
        <w:rPr>
          <w:b/>
        </w:rPr>
        <w:t xml:space="preserve">Hand-off makes this substantially worse, from a feature that is idle.</w:t>
      </w:r>
      <w:r>
        <w:t xml:space="preserve"> A hand-off session occupies a slot for its </w:t>
      </w:r>
      <w:r>
        <w:rPr>
          <w:i/>
        </w:rPr>
        <w:t xml:space="preserve">time-to-live</w:t>
      </w:r>
      <w:r>
        <w:t xml:space="preserve">, not its runtime — up to 48 hours. If 5% of shows are hand-off at an average 24-hour TTL [assumed]:</w:t>
      </w:r>
    </w:p>
    <w:tbl>
      <w:tblPr>
        <w:tblStyle w:val="TableGridLight"/>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4680"/>
        <w:gridCol w:w="4680"/>
      </w:tblGrid>
      <w:tr>
        <w:trPr>
          <w:tblHeader/>
        </w:trPr>
        <w:tc>
          <w:tcPr>
            <w:tcW w:w="4680" w:type="dxa"/>
            <w:shd w:val="clear" w:fill="F2F2F2"/>
          </w:tcPr>
          <w:p>
            <w:pPr>
              <w:pStyle w:val="TableText"/>
            </w:pPr>
            <w:r>
              <w:rPr>
                <w:b/>
              </w:rPr>
              <w:t xml:space="preserve">Step</w:t>
            </w:r>
          </w:p>
        </w:tc>
        <w:tc>
          <w:tcPr>
            <w:tcW w:w="4680" w:type="dxa"/>
            <w:shd w:val="clear" w:fill="F2F2F2"/>
          </w:tcPr>
          <w:p>
            <w:pPr>
              <w:pStyle w:val="TableText"/>
            </w:pPr>
            <w:r>
              <w:rPr>
                <w:b/>
              </w:rPr>
              <w:t xml:space="preserve">Value</w:t>
            </w:r>
          </w:p>
        </w:tc>
      </w:tr>
      <w:tr>
        <w:tc>
          <w:tcPr>
            <w:tcW w:w="4680" w:type="dxa"/>
          </w:tcPr>
          <w:p>
            <w:pPr>
              <w:pStyle w:val="TableText"/>
            </w:pPr>
            <w:r>
              <w:t xml:space="preserve">Hand-off shows per month</w:t>
            </w:r>
          </w:p>
        </w:tc>
        <w:tc>
          <w:tcPr>
            <w:tcW w:w="4680" w:type="dxa"/>
          </w:tcPr>
          <w:p>
            <w:pPr>
              <w:pStyle w:val="TableText"/>
            </w:pPr>
            <w:r>
              <w:t xml:space="preserve">25,000</w:t>
            </w:r>
          </w:p>
        </w:tc>
      </w:tr>
      <w:tr>
        <w:tc>
          <w:tcPr>
            <w:tcW w:w="4680" w:type="dxa"/>
          </w:tcPr>
          <w:p>
            <w:pPr>
              <w:pStyle w:val="TableText"/>
            </w:pPr>
            <w:r>
              <w:t xml:space="preserve">Slot-hours at 24 h each</w:t>
            </w:r>
          </w:p>
        </w:tc>
        <w:tc>
          <w:tcPr>
            <w:tcW w:w="4680" w:type="dxa"/>
          </w:tcPr>
          <w:p>
            <w:pPr>
              <w:pStyle w:val="TableText"/>
            </w:pPr>
            <w:r>
              <w:t xml:space="preserve">600,000</w:t>
            </w:r>
          </w:p>
        </w:tc>
      </w:tr>
      <w:tr>
        <w:tc>
          <w:tcPr>
            <w:tcW w:w="4680" w:type="dxa"/>
          </w:tcPr>
          <w:p>
            <w:pPr>
              <w:pStyle w:val="TableText"/>
            </w:pPr>
            <w:r>
              <w:rPr>
                <w:b/>
              </w:rPr>
              <w:t xml:space="preserve">Mean concurrent sessions from hand-off alone</w:t>
            </w:r>
          </w:p>
        </w:tc>
        <w:tc>
          <w:tcPr>
            <w:tcW w:w="4680" w:type="dxa"/>
          </w:tcPr>
          <w:p>
            <w:pPr>
              <w:pStyle w:val="TableText"/>
            </w:pPr>
            <w:r>
              <w:rPr>
                <w:b/>
              </w:rPr>
              <w:t xml:space="preserve">822</w:t>
            </w:r>
          </w:p>
        </w:tc>
      </w:tr>
    </w:tbl>
    <w:p>
      <w:pPr>
        <w:pStyle w:val="Spacer"/>
      </w:pPr>
      <w:r>
        <w:t xml:space="preserve"/>
      </w:r>
    </w:p>
    <w:p>
      <w:pPr/>
      <w:r>
        <w:t xml:space="preserve">Four times the cap, held by shows that are not playing. Combined mean occupancy is roughly 1,164 sessions against a ceiling of 200 — a shortfall of about 6× at the mean and 20–30× at peak. Users would meet the 503 while the service is substantially idle.</w:t>
      </w:r>
    </w:p>
    <w:p>
      <w:pPr>
        <w:pStyle w:val="Heading3"/>
      </w:pPr>
      <w:r>
        <w:rPr>
          <w:b/>
          <w:sz w:val="26"/>
          <w:szCs w:val="26"/>
          <w:color w:val="3B3357"/>
        </w:rPr>
        <w:t xml:space="preserve">Finding 3 — Every deploy destroys every running show</w:t>
      </w:r>
    </w:p>
    <w:p>
      <w:pPr/>
      <w:r>
        <w:t xml:space="preserve">With no persistence, a container restart ends all live broadcasts and all handed-off shows. That includes routine deploys, out-of-memory kills, and platform events outside the company's control.</w:t>
      </w:r>
    </w:p>
    <w:p>
      <w:pPr/>
      <w:r>
        <w:t xml:space="preserve">Hand-off is sold to users on a one-to-48-hour promise. That promise currently survives only as long as the operating system process does. The second-order consequence matters more than the first: </w:t>
      </w:r>
      <w:r>
        <w:rPr>
          <w:b/>
        </w:rPr>
        <w:t xml:space="preserve">there is no way to ship a fix without breaking the feature</w:t>
      </w:r>
      <w:r>
        <w:t xml:space="preserve">, which discourages exactly the frequent, small deploys a young product needs.</w:t>
      </w:r>
    </w:p>
    <w:p>
      <w:pPr>
        <w:pStyle w:val="Heading3"/>
      </w:pPr>
      <w:r>
        <w:rPr>
          <w:b/>
          <w:sz w:val="26"/>
          <w:szCs w:val="26"/>
          <w:color w:val="3B3357"/>
        </w:rPr>
        <w:t xml:space="preserve">Finding 4 — Server-side conversion must not run on the relay process</w:t>
      </w:r>
    </w:p>
    <w:p>
      <w:pPr/>
      <w:r>
        <w:t xml:space="preserve">This is pre-emptive rather than a defect in the current build, and it is important because server-side document conversion is the item the funding is sought for.</w:t>
      </w:r>
    </w:p>
    <w:p>
      <w:pPr/>
      <w:r>
        <w:t xml:space="preserve">LibreOffice conversion costs seconds of CPU per deck. Node is single-threaded, and the relay is thousands of parked connections on one event loop. A single synchronous conversion stalls </w:t>
      </w:r>
      <w:r>
        <w:rPr>
          <w:b/>
        </w:rPr>
        <w:t xml:space="preserve">every</w:t>
      </w:r>
      <w:r>
        <w:t xml:space="preserve"> long-poll on that instance for its duration.</w:t>
      </w:r>
    </w:p>
    <w:p>
      <w:pPr/>
      <w:r>
        <w:t xml:space="preserve">If conversion is added in-process, it will take down the product it was meant to unblock. It requires a separate worker tier with its own queue and its own scaling behaviour, and that should be settled as a design decision before any of it is written.</w:t>
      </w:r>
    </w:p>
    <w:p>
      <w:pPr>
        <w:pStyle w:val="Heading3"/>
      </w:pPr>
      <w:r>
        <w:rPr>
          <w:b/>
          <w:sz w:val="26"/>
          <w:szCs w:val="26"/>
          <w:color w:val="3B3357"/>
        </w:rPr>
        <w:t xml:space="preserve">Finding 5 — Socket volume and the denial-of-service surface</w:t>
      </w:r>
    </w:p>
    <w:p>
      <w:pPr/>
      <w:r>
        <w:t xml:space="preserve">At Year 3 mean concurrency, roughly 1,164 sessions at four screens each is about 4,700 permanently open long-polls; a busy hour exceeds 20,000. Each re-polls every 25 seconds, so sustained request rates reach several hundred per second purely to keep connections parked.</w:t>
      </w:r>
    </w:p>
    <w:p>
      <w:pPr/>
      <w:r>
        <w:t xml:space="preserve">Node itself is well suited to this — the workload is I/O-bound, which is why the plan holds compute flat at $200/month. The limits that bind first are elsewhere: file-descriptor ceilings, and the platform proxy in front of the application.</w:t>
      </w:r>
    </w:p>
    <w:p>
      <w:pPr/>
      <w:r>
        <w:t xml:space="preserve">Two settings compound the exposure. </w:t>
      </w:r>
      <w:r>
        <w:rPr>
          <w:rFonts w:ascii="Consolas" w:hAnsi="Consolas"/>
          <w:sz w:val="18"/>
        </w:rPr>
        <w:t xml:space="preserve">server.requestTimeout = 0</w:t>
      </w:r>
      <w:r>
        <w:t xml:space="preserve"> disables request timeouts — necessary for long-polling, but it means a stalled request is never reclaimed. The rate limiter is in-memory, so it resets on every restart and would not span instances once Finding 1 is addressed.</w:t>
      </w:r>
    </w:p>
    <w:p>
      <w:pPr>
        <w:pStyle w:val="Heading3"/>
      </w:pPr>
      <w:r>
        <w:rPr>
          <w:b/>
          <w:sz w:val="26"/>
          <w:szCs w:val="26"/>
          <w:color w:val="3B3357"/>
        </w:rPr>
        <w:t xml:space="preserve">Finding 6 — The per-session cache budget is 64 MB</w:t>
      </w:r>
    </w:p>
    <w:p>
      <w:pPr/>
      <w:r>
        <w:rPr>
          <w:rFonts w:ascii="Consolas" w:hAnsi="Consolas"/>
          <w:sz w:val="18"/>
        </w:rPr>
        <w:t xml:space="preserve">MAX_CACHE_BYTES</w:t>
      </w:r>
      <w:r>
        <w:t xml:space="preserve"> is applied per session rather than globally. At the 200-session cap the theoretical worst case is 12.8 GB resident.</w:t>
      </w:r>
    </w:p>
    <w:p>
      <w:pPr/>
      <w:r>
        <w:t xml:space="preserve">In practice the six-frame limit binds first: six frames at roughly 1.5 MB of normalised wire image is about 9 MB per session, or 1.8 GB at full occupancy. That is still material on a modest container, and it is worth noting that the frame count is what protects the process, not the byte budget.</w:t>
      </w:r>
    </w:p>
    <w:p>
      <w:r>
        <w:br w:type="page"/>
      </w:r>
    </w:p>
    <w:p>
      <w:pPr>
        <w:pStyle w:val="Heading2"/>
      </w:pPr>
      <w:r>
        <w:rPr>
          <w:b/>
          <w:sz w:val="32"/>
          <w:szCs w:val="32"/>
          <w:color w:val="2A2440"/>
        </w:rPr>
        <w:t xml:space="preserve">4. What is well built</w:t>
      </w:r>
    </w:p>
    <w:p>
      <w:pPr/>
      <w:r>
        <w:t xml:space="preserve">An even-handed review should record these, because three of them are better than is typical at this stage.</w:t>
      </w:r>
    </w:p>
    <w:p>
      <w:pPr/>
      <w:r>
        <w:rPr>
          <w:b/>
        </w:rPr>
        <w:t xml:space="preserve">The hot path never touches Postgres.</w:t>
      </w:r>
      <w:r>
        <w:t xml:space="preserve"> Relay traffic is pure memory. The database — normally the first component to fall over under load — will not be the bottleneck at any volume contemplated in the plan. The pool maximum of 10 is appropriate.</w:t>
      </w:r>
    </w:p>
    <w:p>
      <w:pPr/>
      <w:r>
        <w:rPr>
          <w:b/>
        </w:rPr>
        <w:t xml:space="preserve">Authentication is stateless.</w:t>
      </w:r>
      <w:r>
        <w:t xml:space="preserve"> HMAC-signed session cookies carry no server-side state, so sign-in scales horizontally for free the moment routing is fixed.</w:t>
      </w:r>
    </w:p>
    <w:p>
      <w:pPr/>
      <w:r>
        <w:rPr>
          <w:b/>
        </w:rPr>
        <w:t xml:space="preserve">Fan-out gives sublinear egress.</w:t>
      </w:r>
      <w:r>
        <w:t xml:space="preserve"> Ten screens on one slide cost one upload. Bandwidth grows with </w:t>
      </w:r>
      <w:r>
        <w:rPr>
          <w:i/>
        </w:rPr>
        <w:t xml:space="preserve">shows</w:t>
      </w:r>
      <w:r>
        <w:t xml:space="preserve">, not with </w:t>
      </w:r>
      <w:r>
        <w:rPr>
          <w:i/>
        </w:rPr>
        <w:t xml:space="preserve">audience</w:t>
      </w:r>
      <w:r>
        <w:t xml:space="preserve">, which is the inverse of every store-and-distribute competitor. This is a durable architectural advantage rather than a cost trick, and it is what makes unlimited-screens pricing defensible against per-screen competitors.</w:t>
      </w:r>
    </w:p>
    <w:p>
      <w:pPr/>
      <w:r>
        <w:rPr>
          <w:b/>
        </w:rPr>
        <w:t xml:space="preserve">Migrations are correctly serialised</w:t>
      </w:r>
      <w:r>
        <w:t xml:space="preserve"> under a Postgres advisory lock, so concurrent instances cannot race them — a discipline that will matter as soon as there is more than one instance.</w:t>
      </w:r>
    </w:p>
    <w:p>
      <w:r>
        <w:br w:type="page"/>
      </w:r>
    </w:p>
    <w:p>
      <w:pPr>
        <w:pStyle w:val="Heading2"/>
      </w:pPr>
      <w:r>
        <w:rPr>
          <w:b/>
          <w:sz w:val="32"/>
          <w:szCs w:val="32"/>
          <w:color w:val="2A2440"/>
        </w:rPr>
        <w:t xml:space="preserve">5. Remediation</w:t>
      </w:r>
    </w:p>
    <w:p>
      <w:pPr>
        <w:pStyle w:val="Heading3"/>
      </w:pPr>
      <w:r>
        <w:rPr>
          <w:b/>
          <w:sz w:val="26"/>
          <w:szCs w:val="26"/>
          <w:color w:val="3B3357"/>
        </w:rPr>
        <w:t xml:space="preserve">Shard by show code at the edge</w:t>
      </w:r>
    </w:p>
    <w:p>
      <w:pPr/>
      <w:r>
        <w:t xml:space="preserve">The six-character show code is a natural partition key. Consistent-hash it in front of the fleet so that every request for a given show reaches the same instance. The in-memory design then works unchanged across any number of instances, and </w:t>
      </w:r>
      <w:r>
        <w:rPr>
          <w:rFonts w:ascii="Consolas" w:hAnsi="Consolas"/>
          <w:sz w:val="18"/>
        </w:rPr>
        <w:t xml:space="preserve">MAX_SESSIONS</w:t>
      </w:r>
      <w:r>
        <w:t xml:space="preserve"> becomes a per-instance figure rather than a global one.</w:t>
      </w:r>
    </w:p>
    <w:p>
      <w:pPr/>
      <w:r>
        <w:t xml:space="preserve">The alternative — moving session state into Redis with pub/sub — is the conventional answer and is the wrong one here. It adds a network hop to the byte path and discards the property that makes the relay fast. Route the traffic instead of centralising the state.</w:t>
      </w:r>
    </w:p>
    <w:p>
      <w:pPr>
        <w:pStyle w:val="Heading3"/>
      </w:pPr>
      <w:r>
        <w:rPr>
          <w:b/>
          <w:sz w:val="26"/>
          <w:szCs w:val="26"/>
          <w:color w:val="3B3357"/>
        </w:rPr>
        <w:t xml:space="preserve">Persist the session record, not the bytes</w:t>
      </w:r>
    </w:p>
    <w:p>
      <w:pPr/>
      <w:r>
        <w:t xml:space="preserve">Screens hold their own copies and can seed one another, so durability is only needed for the show's metadata: code, mode, expiry, owner, slide count. Writing that to Postgres converts hand-off from a promise the platform cannot keep into one it can, and it decouples deployment from user-visible breakage.</w:t>
      </w:r>
    </w:p>
    <w:p>
      <w:pPr/>
      <w:r>
        <w:t xml:space="preserve">The photo bytes should remain ephemeral. That is the product's central claim and it should not be traded away for operational convenience.</w:t>
      </w:r>
    </w:p>
    <w:p>
      <w:pPr>
        <w:pStyle w:val="Heading3"/>
      </w:pPr>
      <w:r>
        <w:rPr>
          <w:b/>
          <w:sz w:val="26"/>
          <w:szCs w:val="26"/>
          <w:color w:val="3B3357"/>
        </w:rPr>
        <w:t xml:space="preserve">Separate the conversion tier before building it</w:t>
      </w:r>
    </w:p>
    <w:p>
      <w:pPr/>
      <w:r>
        <w:t xml:space="preserve">A queue and a distinct worker service, sized independently of the relay.</w:t>
      </w:r>
    </w:p>
    <w:p>
      <w:pPr>
        <w:pStyle w:val="Heading3"/>
      </w:pPr>
      <w:r>
        <w:rPr>
          <w:b/>
          <w:sz w:val="26"/>
          <w:szCs w:val="26"/>
          <w:color w:val="3B3357"/>
        </w:rPr>
        <w:t xml:space="preserve">Sequencing</w:t>
      </w:r>
    </w:p>
    <w:tbl>
      <w:tblPr>
        <w:tblStyle w:val="TableGridLight"/>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3120"/>
        <w:gridCol w:w="3120"/>
        <w:gridCol w:w="3120"/>
      </w:tblGrid>
      <w:tr>
        <w:trPr>
          <w:tblHeader/>
        </w:trPr>
        <w:tc>
          <w:tcPr>
            <w:tcW w:w="3120" w:type="dxa"/>
            <w:shd w:val="clear" w:fill="F2F2F2"/>
          </w:tcPr>
          <w:p>
            <w:pPr>
              <w:pStyle w:val="TableText"/>
            </w:pPr>
            <w:r>
              <w:rPr>
                <w:b/>
              </w:rPr>
              <w:t xml:space="preserve">Order</w:t>
            </w:r>
          </w:p>
        </w:tc>
        <w:tc>
          <w:tcPr>
            <w:tcW w:w="3120" w:type="dxa"/>
            <w:shd w:val="clear" w:fill="F2F2F2"/>
          </w:tcPr>
          <w:p>
            <w:pPr>
              <w:pStyle w:val="TableText"/>
            </w:pPr>
            <w:r>
              <w:rPr>
                <w:b/>
              </w:rPr>
              <w:t xml:space="preserve">Work</w:t>
            </w:r>
          </w:p>
        </w:tc>
        <w:tc>
          <w:tcPr>
            <w:tcW w:w="3120" w:type="dxa"/>
            <w:shd w:val="clear" w:fill="F2F2F2"/>
          </w:tcPr>
          <w:p>
            <w:pPr>
              <w:pStyle w:val="TableText"/>
            </w:pPr>
            <w:r>
              <w:rPr>
                <w:b/>
              </w:rPr>
              <w:t xml:space="preserve">Why first</w:t>
            </w:r>
          </w:p>
        </w:tc>
      </w:tr>
      <w:tr>
        <w:tc>
          <w:tcPr>
            <w:tcW w:w="3120" w:type="dxa"/>
          </w:tcPr>
          <w:p>
            <w:pPr>
              <w:pStyle w:val="TableText"/>
            </w:pPr>
            <w:r>
              <w:t xml:space="preserve">1</w:t>
            </w:r>
          </w:p>
        </w:tc>
        <w:tc>
          <w:tcPr>
            <w:tcW w:w="3120" w:type="dxa"/>
          </w:tcPr>
          <w:p>
            <w:pPr>
              <w:pStyle w:val="TableText"/>
            </w:pPr>
            <w:r>
              <w:t xml:space="preserve">Persist session records</w:t>
            </w:r>
          </w:p>
        </w:tc>
        <w:tc>
          <w:tcPr>
            <w:tcW w:w="3120" w:type="dxa"/>
          </w:tcPr>
          <w:p>
            <w:pPr>
              <w:pStyle w:val="TableText"/>
            </w:pPr>
            <w:r>
              <w:t xml:space="preserve">Unblocks safe deploys; independent of the rest</w:t>
            </w:r>
          </w:p>
        </w:tc>
      </w:tr>
      <w:tr>
        <w:tc>
          <w:tcPr>
            <w:tcW w:w="3120" w:type="dxa"/>
          </w:tcPr>
          <w:p>
            <w:pPr>
              <w:pStyle w:val="TableText"/>
            </w:pPr>
            <w:r>
              <w:t xml:space="preserve">2</w:t>
            </w:r>
          </w:p>
        </w:tc>
        <w:tc>
          <w:tcPr>
            <w:tcW w:w="3120" w:type="dxa"/>
          </w:tcPr>
          <w:p>
            <w:pPr>
              <w:pStyle w:val="TableText"/>
            </w:pPr>
            <w:r>
              <w:t xml:space="preserve">Shard by code, raise the cap per instance</w:t>
            </w:r>
          </w:p>
        </w:tc>
        <w:tc>
          <w:tcPr>
            <w:tcW w:w="3120" w:type="dxa"/>
          </w:tcPr>
          <w:p>
            <w:pPr>
              <w:pStyle w:val="TableText"/>
            </w:pPr>
            <w:r>
              <w:t xml:space="preserve">Removes the hard ceiling</w:t>
            </w:r>
          </w:p>
        </w:tc>
      </w:tr>
      <w:tr>
        <w:tc>
          <w:tcPr>
            <w:tcW w:w="3120" w:type="dxa"/>
          </w:tcPr>
          <w:p>
            <w:pPr>
              <w:pStyle w:val="TableText"/>
            </w:pPr>
            <w:r>
              <w:t xml:space="preserve">3</w:t>
            </w:r>
          </w:p>
        </w:tc>
        <w:tc>
          <w:tcPr>
            <w:tcW w:w="3120" w:type="dxa"/>
          </w:tcPr>
          <w:p>
            <w:pPr>
              <w:pStyle w:val="TableText"/>
            </w:pPr>
            <w:r>
              <w:t xml:space="preserve">Per-IP connection limits, shared rate limiting</w:t>
            </w:r>
          </w:p>
        </w:tc>
        <w:tc>
          <w:tcPr>
            <w:tcW w:w="3120" w:type="dxa"/>
          </w:tcPr>
          <w:p>
            <w:pPr>
              <w:pStyle w:val="TableText"/>
            </w:pPr>
            <w:r>
              <w:t xml:space="preserve">Only meaningful once multi-instance</w:t>
            </w:r>
          </w:p>
        </w:tc>
      </w:tr>
      <w:tr>
        <w:tc>
          <w:tcPr>
            <w:tcW w:w="3120" w:type="dxa"/>
          </w:tcPr>
          <w:p>
            <w:pPr>
              <w:pStyle w:val="TableText"/>
            </w:pPr>
            <w:r>
              <w:t xml:space="preserve">4</w:t>
            </w:r>
          </w:p>
        </w:tc>
        <w:tc>
          <w:tcPr>
            <w:tcW w:w="3120" w:type="dxa"/>
          </w:tcPr>
          <w:p>
            <w:pPr>
              <w:pStyle w:val="TableText"/>
            </w:pPr>
            <w:r>
              <w:t xml:space="preserve">Conversion worker tier</w:t>
            </w:r>
          </w:p>
        </w:tc>
        <w:tc>
          <w:tcPr>
            <w:tcW w:w="3120" w:type="dxa"/>
          </w:tcPr>
          <w:p>
            <w:pPr>
              <w:pStyle w:val="TableText"/>
            </w:pPr>
            <w:r>
              <w:t xml:space="preserve">The funded item, safe to build after 1–3</w:t>
            </w:r>
          </w:p>
        </w:tc>
      </w:tr>
    </w:tbl>
    <w:p>
      <w:pPr>
        <w:pStyle w:val="Spacer"/>
      </w:pPr>
      <w:r>
        <w:t xml:space="preserve"/>
      </w:r>
    </w:p>
    <w:p>
      <w:pPr/>
      <w:r>
        <w:t xml:space="preserve">Items 1 to 3 are prerequisites to the adoption curve the business plan projects, not optimisations. They are days of work rather than months.</w:t>
      </w:r>
    </w:p>
    <w:p>
      <w:r>
        <w:br w:type="page"/>
      </w:r>
    </w:p>
    <w:p>
      <w:pPr>
        <w:pStyle w:val="Heading2"/>
      </w:pPr>
      <w:r>
        <w:rPr>
          <w:b/>
          <w:sz w:val="32"/>
          <w:szCs w:val="32"/>
          <w:color w:val="2A2440"/>
        </w:rPr>
        <w:t xml:space="preserve">6. Assumptions register</w:t>
      </w:r>
    </w:p>
    <w:p>
      <w:pPr/>
      <w:r>
        <w:t xml:space="preserve">Every capacity figure above rests on the following. They are estimates, not measurements, and the arithmetic moves proportionally with them.</w:t>
      </w:r>
    </w:p>
    <w:tbl>
      <w:tblPr>
        <w:tblStyle w:val="TableGridLight"/>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3120"/>
        <w:gridCol w:w="3120"/>
        <w:gridCol w:w="3120"/>
      </w:tblGrid>
      <w:tr>
        <w:trPr>
          <w:tblHeader/>
        </w:trPr>
        <w:tc>
          <w:tcPr>
            <w:tcW w:w="3120" w:type="dxa"/>
            <w:shd w:val="clear" w:fill="F2F2F2"/>
          </w:tcPr>
          <w:p>
            <w:pPr>
              <w:pStyle w:val="TableText"/>
            </w:pPr>
            <w:r>
              <w:rPr>
                <w:b/>
              </w:rPr>
              <w:t xml:space="preserve">Assumption</w:t>
            </w:r>
          </w:p>
        </w:tc>
        <w:tc>
          <w:tcPr>
            <w:tcW w:w="3120" w:type="dxa"/>
            <w:shd w:val="clear" w:fill="F2F2F2"/>
          </w:tcPr>
          <w:p>
            <w:pPr>
              <w:pStyle w:val="TableText"/>
            </w:pPr>
            <w:r>
              <w:rPr>
                <w:b/>
              </w:rPr>
              <w:t xml:space="preserve">Value used</w:t>
            </w:r>
          </w:p>
        </w:tc>
        <w:tc>
          <w:tcPr>
            <w:tcW w:w="3120" w:type="dxa"/>
            <w:shd w:val="clear" w:fill="F2F2F2"/>
          </w:tcPr>
          <w:p>
            <w:pPr>
              <w:pStyle w:val="TableText"/>
            </w:pPr>
            <w:r>
              <w:rPr>
                <w:b/>
              </w:rPr>
              <w:t xml:space="preserve">Confidence</w:t>
            </w:r>
          </w:p>
        </w:tc>
      </w:tr>
      <w:tr>
        <w:tc>
          <w:tcPr>
            <w:tcW w:w="3120" w:type="dxa"/>
          </w:tcPr>
          <w:p>
            <w:pPr>
              <w:pStyle w:val="TableText"/>
            </w:pPr>
            <w:r>
              <w:t xml:space="preserve">Average show duration</w:t>
            </w:r>
          </w:p>
        </w:tc>
        <w:tc>
          <w:tcPr>
            <w:tcW w:w="3120" w:type="dxa"/>
          </w:tcPr>
          <w:p>
            <w:pPr>
              <w:pStyle w:val="TableText"/>
            </w:pPr>
            <w:r>
              <w:t xml:space="preserve">30 minutes</w:t>
            </w:r>
          </w:p>
        </w:tc>
        <w:tc>
          <w:tcPr>
            <w:tcW w:w="3120" w:type="dxa"/>
          </w:tcPr>
          <w:p>
            <w:pPr>
              <w:pStyle w:val="TableText"/>
            </w:pPr>
            <w:r>
              <w:t xml:space="preserve">Low — no telemetry yet</w:t>
            </w:r>
          </w:p>
        </w:tc>
      </w:tr>
      <w:tr>
        <w:tc>
          <w:tcPr>
            <w:tcW w:w="3120" w:type="dxa"/>
          </w:tcPr>
          <w:p>
            <w:pPr>
              <w:pStyle w:val="TableText"/>
            </w:pPr>
            <w:r>
              <w:t xml:space="preserve">Peak-to-mean traffic ratio</w:t>
            </w:r>
          </w:p>
        </w:tc>
        <w:tc>
          <w:tcPr>
            <w:tcW w:w="3120" w:type="dxa"/>
          </w:tcPr>
          <w:p>
            <w:pPr>
              <w:pStyle w:val="TableText"/>
            </w:pPr>
            <w:r>
              <w:t xml:space="preserve">5×</w:t>
            </w:r>
          </w:p>
        </w:tc>
        <w:tc>
          <w:tcPr>
            <w:tcW w:w="3120" w:type="dxa"/>
          </w:tcPr>
          <w:p>
            <w:pPr>
              <w:pStyle w:val="TableText"/>
            </w:pPr>
            <w:r>
              <w:t xml:space="preserve">Medium — typical of consumer evening peaks</w:t>
            </w:r>
          </w:p>
        </w:tc>
      </w:tr>
      <w:tr>
        <w:tc>
          <w:tcPr>
            <w:tcW w:w="3120" w:type="dxa"/>
          </w:tcPr>
          <w:p>
            <w:pPr>
              <w:pStyle w:val="TableText"/>
            </w:pPr>
            <w:r>
              <w:t xml:space="preserve">Proportion of shows using hand-off</w:t>
            </w:r>
          </w:p>
        </w:tc>
        <w:tc>
          <w:tcPr>
            <w:tcW w:w="3120" w:type="dxa"/>
          </w:tcPr>
          <w:p>
            <w:pPr>
              <w:pStyle w:val="TableText"/>
            </w:pPr>
            <w:r>
              <w:t xml:space="preserve">5%</w:t>
            </w:r>
          </w:p>
        </w:tc>
        <w:tc>
          <w:tcPr>
            <w:tcW w:w="3120" w:type="dxa"/>
          </w:tcPr>
          <w:p>
            <w:pPr>
              <w:pStyle w:val="TableText"/>
            </w:pPr>
            <w:r>
              <w:t xml:space="preserve">Low — feature is new</w:t>
            </w:r>
          </w:p>
        </w:tc>
      </w:tr>
      <w:tr>
        <w:tc>
          <w:tcPr>
            <w:tcW w:w="3120" w:type="dxa"/>
          </w:tcPr>
          <w:p>
            <w:pPr>
              <w:pStyle w:val="TableText"/>
            </w:pPr>
            <w:r>
              <w:t xml:space="preserve">Average hand-off TTL selected</w:t>
            </w:r>
          </w:p>
        </w:tc>
        <w:tc>
          <w:tcPr>
            <w:tcW w:w="3120" w:type="dxa"/>
          </w:tcPr>
          <w:p>
            <w:pPr>
              <w:pStyle w:val="TableText"/>
            </w:pPr>
            <w:r>
              <w:t xml:space="preserve">24 hours</w:t>
            </w:r>
          </w:p>
        </w:tc>
        <w:tc>
          <w:tcPr>
            <w:tcW w:w="3120" w:type="dxa"/>
          </w:tcPr>
          <w:p>
            <w:pPr>
              <w:pStyle w:val="TableText"/>
            </w:pPr>
            <w:r>
              <w:t xml:space="preserve">Low</w:t>
            </w:r>
          </w:p>
        </w:tc>
      </w:tr>
      <w:tr>
        <w:tc>
          <w:tcPr>
            <w:tcW w:w="3120" w:type="dxa"/>
          </w:tcPr>
          <w:p>
            <w:pPr>
              <w:pStyle w:val="TableText"/>
            </w:pPr>
            <w:r>
              <w:t xml:space="preserve">Screens per show</w:t>
            </w:r>
          </w:p>
        </w:tc>
        <w:tc>
          <w:tcPr>
            <w:tcW w:w="3120" w:type="dxa"/>
          </w:tcPr>
          <w:p>
            <w:pPr>
              <w:pStyle w:val="TableText"/>
            </w:pPr>
            <w:r>
              <w:t xml:space="preserve">4</w:t>
            </w:r>
          </w:p>
        </w:tc>
        <w:tc>
          <w:tcPr>
            <w:tcW w:w="3120" w:type="dxa"/>
          </w:tcPr>
          <w:p>
            <w:pPr>
              <w:pStyle w:val="TableText"/>
            </w:pPr>
            <w:r>
              <w:t xml:space="preserve">From the business plan's own model</w:t>
            </w:r>
          </w:p>
        </w:tc>
      </w:tr>
      <w:tr>
        <w:tc>
          <w:tcPr>
            <w:tcW w:w="3120" w:type="dxa"/>
          </w:tcPr>
          <w:p>
            <w:pPr>
              <w:pStyle w:val="TableText"/>
            </w:pPr>
            <w:r>
              <w:t xml:space="preserve">Normalised wire image size</w:t>
            </w:r>
          </w:p>
        </w:tc>
        <w:tc>
          <w:tcPr>
            <w:tcW w:w="3120" w:type="dxa"/>
          </w:tcPr>
          <w:p>
            <w:pPr>
              <w:pStyle w:val="TableText"/>
            </w:pPr>
            <w:r>
              <w:t xml:space="preserve">1.5 MB</w:t>
            </w:r>
          </w:p>
        </w:tc>
        <w:tc>
          <w:tcPr>
            <w:tcW w:w="3120" w:type="dxa"/>
          </w:tcPr>
          <w:p>
            <w:pPr>
              <w:pStyle w:val="TableText"/>
            </w:pPr>
            <w:r>
              <w:t xml:space="preserve">Measured — 2560 px cap at JPEG q0.9</w:t>
            </w:r>
          </w:p>
        </w:tc>
      </w:tr>
    </w:tbl>
    <w:p>
      <w:pPr>
        <w:pStyle w:val="Spacer"/>
      </w:pPr>
      <w:r>
        <w:t xml:space="preserve"/>
      </w:r>
    </w:p>
    <w:p>
      <w:pPr/>
      <w:r>
        <w:t xml:space="preserve">The single most valuable instrumentation the product could add is measurement of the first four. Concurrency, not total volume, is what this architecture is sensitive to, and none of it is currently observed.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abstractNum>
  <w:abstractNum w:abstractNumId="1">
    <w:lvl w:ilvl="0">
      <w:start w:val="1"/>
      <w:numFmt w:val="decimal"/>
      <w:lvlText w:val="%1."/>
      <w:lvlJc w:val="left"/>
      <w:pPr>
        <w:ind w:left="36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40" w:line="276" w:lineRule="auto"/>
      </w:pPr>
    </w:pPrDefault>
  </w:docDefaults>
  <w:style w:type="paragraph" w:default="1" w:styleId="Normal">
    <w:name w:val="Normal"/>
  </w:style>
  <w:style w:type="paragraph" w:styleId="Heading1">
    <w:name w:val="heading 1"/>
    <w:basedOn w:val="Normal"/>
    <w:pPr>
      <w:outlineLvl w:val="0"/>
      <w:spacing w:before="240" w:after="120"/>
    </w:pPr>
    <w:rPr>
      <w:b/>
      <w:sz w:val="44"/>
      <w:color w:val="2A2440"/>
    </w:rPr>
  </w:style>
  <w:style w:type="paragraph" w:styleId="Heading2">
    <w:name w:val="heading 2"/>
    <w:basedOn w:val="Normal"/>
    <w:pPr>
      <w:outlineLvl w:val="1"/>
      <w:spacing w:before="280" w:after="120"/>
      <w:pBdr>
        <w:bottom w:val="single" w:sz="6" w:space="4" w:color="FF8382"/>
      </w:pBdr>
    </w:pPr>
    <w:rPr>
      <w:b/>
      <w:sz w:val="32"/>
      <w:color w:val="2A2440"/>
    </w:rPr>
  </w:style>
  <w:style w:type="paragraph" w:styleId="Heading3">
    <w:name w:val="heading 3"/>
    <w:basedOn w:val="Normal"/>
    <w:pPr>
      <w:outlineLvl w:val="2"/>
      <w:spacing w:before="220" w:after="80"/>
    </w:pPr>
    <w:rPr>
      <w:b/>
      <w:sz w:val="26"/>
      <w:color w:val="3B3357"/>
    </w:rPr>
  </w:style>
  <w:style w:type="paragraph" w:styleId="Heading4">
    <w:name w:val="heading 4"/>
    <w:basedOn w:val="Normal"/>
    <w:pPr>
      <w:outlineLvl w:val="3"/>
    </w:pPr>
    <w:rPr>
      <w:b/>
      <w:i/>
      <w:sz w:val="23"/>
    </w:rPr>
  </w:style>
  <w:style w:type="paragraph" w:styleId="Quote">
    <w:name w:val="Quote"/>
    <w:basedOn w:val="Normal"/>
    <w:pPr>
      <w:ind w:left="480"/>
      <w:pBdr>
        <w:left w:val="single" w:sz="18" w:space="12" w:color="51D1E3"/>
      </w:pBdr>
    </w:pPr>
    <w:rPr>
      <w:i/>
      <w:color w:val="454050"/>
    </w:rPr>
  </w:style>
  <w:style w:type="paragraph" w:styleId="Code">
    <w:name w:val="Code"/>
    <w:basedOn w:val="Normal"/>
    <w:pPr>
      <w:spacing w:after="0"/>
      <w:shd w:val="clear" w:fill="F5F5F7"/>
      <w:ind w:left="240"/>
    </w:pPr>
    <w:rPr>
      <w:rFonts w:ascii="Consolas" w:hAnsi="Consolas"/>
      <w:sz w:val="18"/>
    </w:rPr>
  </w:style>
  <w:style w:type="paragraph" w:styleId="TableText">
    <w:name w:val="Table Text"/>
    <w:basedOn w:val="Normal"/>
    <w:pPr>
      <w:spacing w:before="20" w:after="20" w:line="240" w:lineRule="auto"/>
    </w:pPr>
    <w:rPr>
      <w:sz w:val="19"/>
    </w:rPr>
  </w:style>
  <w:style w:type="paragraph" w:styleId="Spacer">
    <w:name w:val="Spacer"/>
    <w:basedOn w:val="Normal"/>
    <w:pPr>
      <w:spacing w:after="0"/>
    </w:pPr>
    <w:rPr>
      <w:sz w:val="12"/>
    </w:rPr>
  </w:style>
  <w:style w:type="paragraph" w:styleId="ListBullet">
    <w:name w:val="List Bullet"/>
    <w:basedOn w:val="Normal"/>
    <w:pPr>
      <w:spacing w:after="60"/>
    </w:pPr>
  </w:style>
  <w:style w:type="paragraph" w:styleId="ListNumber">
    <w:name w:val="List Number"/>
    <w:basedOn w:val="Normal"/>
    <w:pPr>
      <w:spacing w:after="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Application>Vinboo</Application>
</Properties>
</file>

<file path=docProps/core.xml><?xml version="1.0" encoding="utf-8"?>
<cp:coreProperties xmlns:cp="http://schemas.openxmlformats.org/package/2006/metadata/core-properties" xmlns:dc="http://purl.org/dc/elements/1.1/" xmlns:dcterms="http://purl.org/dc/terms/" xmlns:xsi="http://www.w3.org/2001/XMLSchema-instance">
  <dc:title>Vinboo — Architecture Review for Scale</dc:title>
  <dc:creator>Vinboo</dc:creator>
  <cp:lastModifiedBy>Vinboo</cp:lastModifiedBy>
  <dcterms:created xsi:type="dcterms:W3CDTF">2026-08-17T13:49:52Z</dcterms:created>
  <dcterms:modified xsi:type="dcterms:W3CDTF">2026-08-17T13:49:52Z</dcterms:modified>
</cp:coreProperties>
</file>