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Paid tiers remove the ads and add what the free architecture cannot do: </w:t>
      </w:r>
      <w:r>
        <w:rPr>
          <w:b/>
        </w:rPr>
        <w:t xml:space="preserve">Plus</w:t>
      </w:r>
      <w:r>
        <w:t xml:space="preserve"> ($3.99) for a show that survives everyone going offline, </w:t>
      </w:r>
      <w:r>
        <w:rPr>
          <w:b/>
        </w:rPr>
        <w:t xml:space="preserve">Pro</w:t>
      </w:r>
      <w:r>
        <w:t xml:space="preserve"> ($15) for exact PowerPoint fidelity and the tools a professional presenter needs, </w:t>
      </w:r>
      <w:r>
        <w:rPr>
          <w:b/>
        </w:rPr>
        <w:t xml:space="preserve">Private</w:t>
      </w:r>
      <w:r>
        <w:t xml:space="preserve"> ($8.99) for end-to-end encryption, and </w:t>
      </w:r>
      <w:r>
        <w:rPr>
          <w:b/>
        </w:rPr>
        <w:t xml:space="preserve">Event</w:t>
      </w:r>
      <w:r>
        <w:t xml:space="preserve"> ($19 once) for a weekend. Pro and Private are alternatives rather than rungs — a server cannot both render your deck and be unable to read it.</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r>
        <w:rPr>
          <w:b/>
        </w:rPr>
        <w:t xml:space="preserve">These are not four rungs of one ladder.</w:t>
      </w:r>
      <w:r>
        <w:t xml:space="preserve"> Plus is the consumer tier. Pro and Private branch off it in opposite directions and a customer picks one, because they cannot coexist — see the note under Private.</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150).</w:t>
      </w:r>
    </w:p>
    <w:p>
      <w:pPr>
        <w:pStyle w:val="ListBullet"/>
        <w:numPr>
          <w:ilvl w:val="0"/>
          <w:numId w:val="1"/>
        </w:numPr>
      </w:pPr>
      <w:r>
        <w:rPr>
          <w:b/>
        </w:rPr>
        <w:t xml:space="preserve">No ads</w:t>
      </w:r>
      <w:r>
        <w:t xml:space="preserve">, anywhere.</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Pro — $15/month or $149/year</w:t>
      </w:r>
    </w:p>
    <w:p>
      <w:pPr/>
      <w:r>
        <w:t xml:space="preserve">The business tier, and a different buyer from everything above: someone who presents for a living, expenses the tool, and compares it against </w:t>
      </w:r>
      <w:r>
        <w:rPr>
          <w:b/>
        </w:rPr>
        <w:t xml:space="preserve">Mentimeter at $11.99–24.99</w:t>
      </w:r>
      <w:r>
        <w:t xml:space="preserve"> and </w:t>
      </w:r>
      <w:r>
        <w:rPr>
          <w:b/>
        </w:rPr>
        <w:t xml:space="preserve">Sync at $12.50</w:t>
      </w:r>
      <w:r>
        <w:t xml:space="preserve"> rather than against Pixo. $15 sits inside that band and is unambiguously a different product from a $3.99 consumer plan.</w:t>
      </w:r>
    </w:p>
    <w:p>
      <w:pPr>
        <w:pStyle w:val="ListBullet"/>
        <w:numPr>
          <w:ilvl w:val="0"/>
          <w:numId w:val="1"/>
        </w:numPr>
      </w:pPr>
      <w:r>
        <w:rPr>
          <w:b/>
        </w:rPr>
        <w:t xml:space="preserve">Exact deck fidelity.</w:t>
      </w:r>
      <w:r>
        <w:t xml:space="preserve"> The deck is converted server-side by LibreOffice, so SmartArt, embedded Visio and Windows metafiles all come through. On the one real enterprise deck tested in this repository that is the difference between </w:t>
      </w:r>
      <w:r>
        <w:rPr>
          <w:b/>
        </w:rPr>
        <w:t xml:space="preserve">13 of 35 slides showing a grey box</w:t>
      </w:r>
      <w:r>
        <w:t xml:space="preserve"> and none.</w:t>
      </w:r>
    </w:p>
    <w:p>
      <w:pPr>
        <w:pStyle w:val="ListBullet"/>
        <w:numPr>
          <w:ilvl w:val="0"/>
          <w:numId w:val="1"/>
        </w:numPr>
      </w:pPr>
      <w:r>
        <w:rPr>
          <w:b/>
        </w:rPr>
        <w:t xml:space="preserve">PDF as an input</w:t>
      </w:r>
      <w:r>
        <w:t xml:space="preserve"> — nearly free once a converter exists, and PDF is what most people already have to hand.</w:t>
      </w:r>
    </w:p>
    <w:p>
      <w:pPr>
        <w:pStyle w:val="ListBullet"/>
        <w:numPr>
          <w:ilvl w:val="0"/>
          <w:numId w:val="1"/>
        </w:numPr>
      </w:pPr>
      <w:r>
        <w:rPr>
          <w:b/>
        </w:rPr>
        <w:t xml:space="preserve">Speaker notes and a presenter view.</w:t>
      </w:r>
      <w:r>
        <w:t xml:space="preserve"> Verified missing today, and a real gap for anyone presenting professionally.</w:t>
      </w:r>
    </w:p>
    <w:p>
      <w:pPr>
        <w:pStyle w:val="ListBullet"/>
        <w:numPr>
          <w:ilvl w:val="0"/>
          <w:numId w:val="1"/>
        </w:numPr>
      </w:pPr>
      <w:r>
        <w:rPr>
          <w:b/>
        </w:rPr>
        <w:t xml:space="preserve">A saved deck library.</w:t>
      </w:r>
      <w:r>
        <w:t xml:space="preserve"> A sales rep shows the same deck every week; today every show starts from a file picker. This is the feature that creates habit, and it is only possible once shows live on the server.</w:t>
      </w:r>
    </w:p>
    <w:p>
      <w:pPr>
        <w:pStyle w:val="ListBullet"/>
        <w:numPr>
          <w:ilvl w:val="0"/>
          <w:numId w:val="1"/>
        </w:numPr>
      </w:pPr>
      <w:r>
        <w:rPr>
          <w:b/>
        </w:rPr>
        <w:t xml:space="preserve">Your logo on the viewer page</w:t>
      </w:r>
      <w:r>
        <w:t xml:space="preserve">, not Vinboo's. Cheap to build and it matters in front of a client.</w:t>
      </w:r>
    </w:p>
    <w:p>
      <w:pPr>
        <w:pStyle w:val="ListBullet"/>
        <w:numPr>
          <w:ilvl w:val="0"/>
          <w:numId w:val="1"/>
        </w:numPr>
      </w:pPr>
      <w:r>
        <w:rPr>
          <w:b/>
        </w:rPr>
        <w:t xml:space="preserve">Who joined, and for how long.</w:t>
      </w:r>
      <w:r>
        <w:t xml:space="preserve"> The relay already counts screens. Light attendance only — polls and engagement analytics are Sync's category and §4's last section says to stay out of it.</w:t>
      </w:r>
    </w:p>
    <w:p>
      <w:pPr>
        <w:pStyle w:val="ListBullet"/>
        <w:numPr>
          <w:ilvl w:val="0"/>
          <w:numId w:val="1"/>
        </w:numPr>
      </w:pPr>
      <w:r>
        <w:rPr>
          <w:b/>
        </w:rPr>
        <w:t xml:space="preserve">Team seats.</w:t>
      </w:r>
      <w:r>
        <w:t xml:space="preserve"> One champion at a company brings a team rather than a friend, which is where expansion revenue comes from.</w:t>
      </w:r>
    </w:p>
    <w:p>
      <w:pPr/>
      <w:r>
        <w:rPr>
          <w:i/>
        </w:rPr>
        <w:t xml:space="preserve">Why the bundle matters:</w:t>
      </w:r>
      <w:r>
        <w:t xml:space="preserve"> exact rendering alone is not worth $15/month. The combination of fidelity, notes, a reusable library and branding is.</w:t>
      </w:r>
    </w:p>
    <w:p>
      <w:pPr/>
      <w:r>
        <w:rPr>
          <w:b/>
        </w:rPr>
        <w:t xml:space="preserve">Build it by buying it first.</w:t>
      </w:r>
      <w:r>
        <w:t xml:space="preserve"> A conversion API costs roughly a fraction of a cent per deck against </w:t>
      </w:r>
      <w:r>
        <w:rPr>
          <w:b/>
        </w:rPr>
        <w:t xml:space="preserve">$36–81/month of always-on capacity</w:t>
      </w:r>
      <w:r>
        <w:t xml:space="preserve"> self-hosted (§5), and it avoids the part that should worry you most: </w:t>
      </w:r>
      <w:r>
        <w:rPr>
          <w:b/>
        </w:rPr>
        <w:t xml:space="preserve">LibreOffice parsing untrusted uploads is a classic remote-code-execution surface.</w:t>
      </w:r>
      <w:r>
        <w:t xml:space="preserve"> Self-hosting it properly means a sandboxed container with no network, hard memory and time limits and dropped privileges. Move in-house when volume justifies it — or when a procurement team objects to the deck touching a third party, which is a better objection to answer with "our server, deleted after" than with a vendor name.</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Sell it as Plus plus a promise: </w:t>
      </w:r>
      <w:r>
        <w:rPr>
          <w:i/>
        </w:rPr>
        <w:t xml:space="preserve">we hold your slideshow and we cannot open it.</w:t>
      </w:r>
      <w:r>
        <w:t xml:space="preserve"> It also resolves the contradiction in §3.4 — Private carries no ads and no third-party tags at all.</w:t>
      </w:r>
    </w:p>
    <w:p>
      <w:pPr/>
      <w:r>
        <w:rPr>
          <w:b/>
        </w:rPr>
        <w:t xml:space="preserve">Private and Pro are mutually exclusive, and this is not a packaging choice.</w:t>
      </w:r>
      <w:r>
        <w:t xml:space="preserve"> A server has to read a deck in order to convert it. If the slides arrive encrypted, LibreOffice has nothing to work with, so Private cannot offer exact fidelity, server-side rendering, or a preview of anything. It is deliberately </w:t>
      </w:r>
      <w:r>
        <w:rPr>
          <w:i/>
        </w:rPr>
        <w:t xml:space="preserve">less</w:t>
      </w:r>
      <w:r>
        <w:t xml:space="preserve"> capable than Pro, which is why it is cheaper:</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Pro — $15</w:t>
            </w:r>
          </w:p>
        </w:tc>
        <w:tc>
          <w:tcPr>
            <w:tcW w:w="3120" w:type="dxa"/>
            <w:shd w:val="clear" w:fill="F2F2F2"/>
          </w:tcPr>
          <w:p>
            <w:pPr>
              <w:pStyle w:val="TableText"/>
            </w:pPr>
            <w:r>
              <w:rPr>
                <w:b/>
              </w:rPr>
              <w:t xml:space="preserve">Private — $8.99</w:t>
            </w:r>
          </w:p>
        </w:tc>
      </w:tr>
      <w:tr>
        <w:tc>
          <w:tcPr>
            <w:tcW w:w="3120" w:type="dxa"/>
          </w:tcPr>
          <w:p>
            <w:pPr>
              <w:pStyle w:val="TableText"/>
            </w:pPr>
            <w:r>
              <w:t xml:space="preserve">The fear it answers</w:t>
            </w:r>
          </w:p>
        </w:tc>
        <w:tc>
          <w:tcPr>
            <w:tcW w:w="3120" w:type="dxa"/>
          </w:tcPr>
          <w:p>
            <w:pPr>
              <w:pStyle w:val="TableText"/>
            </w:pPr>
            <w:r>
              <w:t xml:space="preserve">"my deck will look wrong"</w:t>
            </w:r>
          </w:p>
        </w:tc>
        <w:tc>
          <w:tcPr>
            <w:tcW w:w="3120" w:type="dxa"/>
          </w:tcPr>
          <w:p>
            <w:pPr>
              <w:pStyle w:val="TableText"/>
            </w:pPr>
            <w:r>
              <w:t xml:space="preserve">"my photos will be read"</w:t>
            </w:r>
          </w:p>
        </w:tc>
      </w:tr>
      <w:tr>
        <w:tc>
          <w:tcPr>
            <w:tcW w:w="3120" w:type="dxa"/>
          </w:tcPr>
          <w:p>
            <w:pPr>
              <w:pStyle w:val="TableText"/>
            </w:pPr>
            <w:r>
              <w:t xml:space="preserve">Server can read your files</w:t>
            </w:r>
          </w:p>
        </w:tc>
        <w:tc>
          <w:tcPr>
            <w:tcW w:w="3120" w:type="dxa"/>
          </w:tcPr>
          <w:p>
            <w:pPr>
              <w:pStyle w:val="TableText"/>
            </w:pPr>
            <w:r>
              <w:rPr>
                <w:b/>
              </w:rPr>
              <w:t xml:space="preserve">yes</w:t>
            </w:r>
            <w:r>
              <w:t xml:space="preserve">, and deletes them after</w:t>
            </w:r>
          </w:p>
        </w:tc>
        <w:tc>
          <w:tcPr>
            <w:tcW w:w="3120" w:type="dxa"/>
          </w:tcPr>
          <w:p>
            <w:pPr>
              <w:pStyle w:val="TableText"/>
            </w:pPr>
            <w:r>
              <w:rPr>
                <w:b/>
              </w:rPr>
              <w:t xml:space="preserve">no</w:t>
            </w:r>
            <w:r>
              <w:t xml:space="preserve">, ever</w:t>
            </w:r>
          </w:p>
        </w:tc>
      </w:tr>
      <w:tr>
        <w:tc>
          <w:tcPr>
            <w:tcW w:w="3120" w:type="dxa"/>
          </w:tcPr>
          <w:p>
            <w:pPr>
              <w:pStyle w:val="TableText"/>
            </w:pPr>
            <w:r>
              <w:t xml:space="preserve">Exact PowerPoint fidelity</w:t>
            </w:r>
          </w:p>
        </w:tc>
        <w:tc>
          <w:tcPr>
            <w:tcW w:w="3120" w:type="dxa"/>
          </w:tcPr>
          <w:p>
            <w:pPr>
              <w:pStyle w:val="TableText"/>
            </w:pPr>
            <w:r>
              <w:t xml:space="preserve">yes</w:t>
            </w:r>
          </w:p>
        </w:tc>
        <w:tc>
          <w:tcPr>
            <w:tcW w:w="3120" w:type="dxa"/>
          </w:tcPr>
          <w:p>
            <w:pPr>
              <w:pStyle w:val="TableText"/>
            </w:pPr>
            <w:r>
              <w:t xml:space="preserve">no — own renderer, with the §4 warning</w:t>
            </w:r>
          </w:p>
        </w:tc>
      </w:tr>
      <w:tr>
        <w:tc>
          <w:tcPr>
            <w:tcW w:w="3120" w:type="dxa"/>
          </w:tcPr>
          <w:p>
            <w:pPr>
              <w:pStyle w:val="TableText"/>
            </w:pPr>
            <w:r>
              <w:t xml:space="preserve">Stored shows survive offline</w:t>
            </w:r>
          </w:p>
        </w:tc>
        <w:tc>
          <w:tcPr>
            <w:tcW w:w="3120" w:type="dxa"/>
          </w:tcPr>
          <w:p>
            <w:pPr>
              <w:pStyle w:val="TableText"/>
            </w:pPr>
            <w:r>
              <w:t xml:space="preserve">yes</w:t>
            </w:r>
          </w:p>
        </w:tc>
        <w:tc>
          <w:tcPr>
            <w:tcW w:w="3120" w:type="dxa"/>
          </w:tcPr>
          <w:p>
            <w:pPr>
              <w:pStyle w:val="TableText"/>
            </w:pPr>
            <w:r>
              <w:t xml:space="preserve">yes, as ciphertext</w:t>
            </w:r>
          </w:p>
        </w:tc>
      </w:tr>
    </w:tbl>
    <w:p>
      <w:pPr>
        <w:pStyle w:val="Spacer"/>
      </w:pPr>
      <w:r>
        <w:t xml:space="preserve"/>
      </w:r>
    </w:p>
    <w:p>
      <w:pPr/>
      <w:r>
        <w:t xml:space="preserve">A customer picks one per show. Selling both to the same person on the same slideshow is not possible, and any marketing that implies otherwise will be found out on first use.</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What server-side conversion costs</w:t>
      </w:r>
    </w:p>
    <w:p>
      <w:pPr/>
      <w:r>
        <w:t xml:space="preserve">The Pro tier's anchor feature is the only part of the product that needs real compute. The arithmetic is unusual: the work itself is free, and the </w:t>
      </w:r>
      <w:r>
        <w:rPr>
          <w:i/>
        </w:rPr>
        <w:t xml:space="preserve">readiness</w:t>
      </w:r>
      <w:r>
        <w:t xml:space="preserve"> to do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Cost</w:t>
            </w:r>
          </w:p>
        </w:tc>
      </w:tr>
      <w:tr>
        <w:tc>
          <w:tcPr>
            <w:tcW w:w="4680" w:type="dxa"/>
          </w:tcPr>
          <w:p>
            <w:pPr>
              <w:pStyle w:val="TableText"/>
            </w:pPr>
            <w:r>
              <w:t xml:space="preserve">One conversion — 35 slides, ~15 seconds, 1 GB and 1 vCPU</w:t>
            </w:r>
          </w:p>
        </w:tc>
        <w:tc>
          <w:tcPr>
            <w:tcW w:w="4680" w:type="dxa"/>
          </w:tcPr>
          <w:p>
            <w:pPr>
              <w:pStyle w:val="TableText"/>
            </w:pPr>
            <w:r>
              <w:rPr>
                <w:b/>
              </w:rPr>
              <w:t xml:space="preserve">$0.00017</w:t>
            </w:r>
            <w:r>
              <w:t xml:space="preserve"> — about 5,700 per dollar</w:t>
            </w:r>
          </w:p>
        </w:tc>
      </w:tr>
      <w:tr>
        <w:tc>
          <w:tcPr>
            <w:tcW w:w="4680" w:type="dxa"/>
          </w:tcPr>
          <w:p>
            <w:pPr>
              <w:pStyle w:val="TableText"/>
            </w:pPr>
            <w:r>
              <w:t xml:space="preserve">Capacity reserved for one at a time</w:t>
            </w:r>
          </w:p>
        </w:tc>
        <w:tc>
          <w:tcPr>
            <w:tcW w:w="4680" w:type="dxa"/>
          </w:tcPr>
          <w:p>
            <w:pPr>
              <w:pStyle w:val="TableText"/>
            </w:pPr>
            <w:r>
              <w:rPr>
                <w:b/>
              </w:rPr>
              <w:t xml:space="preserve">$36/month</w:t>
            </w:r>
            <w:r>
              <w:t xml:space="preserve">, used or not</w:t>
            </w:r>
          </w:p>
        </w:tc>
      </w:tr>
      <w:tr>
        <w:tc>
          <w:tcPr>
            <w:tcW w:w="4680" w:type="dxa"/>
          </w:tcPr>
          <w:p>
            <w:pPr>
              <w:pStyle w:val="TableText"/>
            </w:pPr>
            <w:r>
              <w:t xml:space="preserve">Capacity reserved for three at a time</w:t>
            </w:r>
          </w:p>
        </w:tc>
        <w:tc>
          <w:tcPr>
            <w:tcW w:w="4680" w:type="dxa"/>
          </w:tcPr>
          <w:p>
            <w:pPr>
              <w:pStyle w:val="TableText"/>
            </w:pPr>
            <w:r>
              <w:rPr>
                <w:b/>
              </w:rPr>
              <w:t xml:space="preserve">$81/month</w:t>
            </w:r>
            <w:r>
              <w:t xml:space="preserve">, used or not</w:t>
            </w:r>
          </w:p>
        </w:tc>
      </w:tr>
      <w:tr>
        <w:tc>
          <w:tcPr>
            <w:tcW w:w="4680" w:type="dxa"/>
          </w:tcPr>
          <w:p>
            <w:pPr>
              <w:pStyle w:val="TableText"/>
            </w:pPr>
            <w:r>
              <w:t xml:space="preserve">10,000 converted decks kept</w:t>
            </w:r>
          </w:p>
        </w:tc>
        <w:tc>
          <w:tcPr>
            <w:tcW w:w="4680" w:type="dxa"/>
          </w:tcPr>
          <w:p>
            <w:pPr>
              <w:pStyle w:val="TableText"/>
            </w:pPr>
            <w:r>
              <w:rPr>
                <w:b/>
              </w:rPr>
              <w:t xml:space="preserve">$1.03/month</w:t>
            </w:r>
            <w:r>
              <w:t xml:space="preserve">, egress free</w:t>
            </w:r>
          </w:p>
        </w:tc>
      </w:tr>
    </w:tbl>
    <w:p>
      <w:pPr>
        <w:pStyle w:val="Spacer"/>
      </w:pPr>
      <w:r>
        <w:t xml:space="preserve"/>
      </w:r>
    </w:p>
    <w:p>
      <w:pPr/>
      <w:r>
        <w:t xml:space="preserve">So it is a </w:t>
      </w:r>
      <w:r>
        <w:rPr>
          <w:b/>
        </w:rPr>
        <w:t xml:space="preserve">fixed floor of roughly $60/month</w:t>
      </w:r>
      <w:r>
        <w:t xml:space="preserve"> rather than a per-unit cost, and </w:t>
      </w:r>
      <w:r>
        <w:rPr>
          <w:b/>
        </w:rPr>
        <w:t xml:space="preserve">five subscribers at $15 cover it</w:t>
      </w:r>
      <w:r>
        <w:t xml:space="preserve">. Conversions themselves never become the expense; idle headroom is.</w:t>
      </w:r>
    </w:p>
    <w:p>
      <w:pPr/>
      <w:r>
        <w:t xml:space="preserve">Which is the argument for </w:t>
      </w:r>
      <w:r>
        <w:rPr>
          <w:b/>
        </w:rPr>
        <w:t xml:space="preserve">not building it first</w:t>
      </w:r>
      <w:r>
        <w:t xml:space="preserve">. A conversion API costs on the order of a fraction of a cent per deck with a ~$9/month floor [sourced], so a thousand decks a month runs to about $12 all-in — cheaper than the reserved capacity, and it avoids standing up a sandbox around a document parser. The reasons to bring it in-house later are volume, and the day a procurement team asks where the deck goes.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r>
        <w:t xml:space="preserve">; at the 150-photo cap, 51 MB</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This is the first real revenue and it answers Pixo directly.</w:t>
      </w:r>
    </w:p>
    <w:p>
      <w:pPr>
        <w:pStyle w:val="ListNumber"/>
        <w:numPr>
          <w:ilvl w:val="0"/>
          <w:numId w:val="2"/>
        </w:numPr>
      </w:pPr>
      <w:r>
        <w:rPr>
          <w:b/>
        </w:rPr>
        <w:t xml:space="preserve">Vinboo Pro</w:t>
      </w:r>
      <w:r>
        <w:t xml:space="preserve">, if the business segment validates. Buy the conversion rather than building it, and lead with exact fidelity plus a saved deck library.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 Note that it forecloses Pro's rendering for anyone who takes it.</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that a 35-slide conversion takes about 15 seconds in 1 GB — plausible for headless LibreOffice but unmeasured here, and the capacity floor moves with it;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CloudConvert pricing</w:t>
      </w:r>
      <w:r>
        <w:t xml:space="preserve"> — conversion-API floor and per-minute rate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2026-08-12T17:52:16Z</dcterms:created>
  <dcterms:modified xsi:type="dcterms:W3CDTF">2026-08-12T17:52:16Z</dcterms:modified>
</cp:coreProperties>
</file>