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Premium subscriptions remove the ads and add the things the free architecture cannot do: a show that survives everyone going offline, end-to-end encryption, and event-scale use.</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QR-code joining</w:t>
      </w:r>
      <w:r>
        <w:t xml:space="preserve"> — table stakes that every direct competitor already has.</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Storing photos on a server (Plus) and being unable to read them (Private) is a natural bundle: the same feature that makes the show survive offline is the one that creates the privacy exposure, and encryption is the answer to it. Sell Private as Plus plus a promise: </w:t>
      </w:r>
      <w:r>
        <w:rPr>
          <w:i/>
        </w:rPr>
        <w:t xml:space="preserve">we hold your slideshow and we cannot open it.</w:t>
      </w:r>
    </w:p>
    <w:p>
      <w:pPr/>
      <w:r>
        <w:t xml:space="preserve">This tier also resolves the contradiction in §3.4 — Private carries no ads and no third-party tags at all.</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rPr>
          <w:b/>
        </w:rPr>
        <w:t xml:space="preserve">QR-code joining.</w:t>
      </w:r>
      <w:r>
        <w:t xml:space="preserve"> A day's work, closes a table-stakes gap named in the analysis, and makes the TV experience bearable. Free tier.</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QR. This is the first real revenue and it answers Pixo directly.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2026-08-11T18:48:38Z</dcterms:created>
  <dcterms:modified xsi:type="dcterms:W3CDTF">2026-08-11T18:48:38Z</dcterms:modified>
</cp:coreProperties>
</file>