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04-03-2021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t>Carga: 1 y dimensión: 1</w:t>
      </w:r>
    </w:p>
    <w:p>
      <w:r>
        <w:rPr>
          <w:color w:val="FF0000"/>
        </w:rPr>
        <w:t>ORIGEN: dad                                  DESTINO: da</w:t>
      </w:r>
    </w:p>
    <w:p>
      <w:r>
        <w:rPr>
          <w:highlight w:val="green"/>
        </w:rPr>
        <w:t xml:space="preserve">Servicio de Transporte: </w:t>
      </w:r>
    </w:p>
    <w:p>
      <w:r>
        <w:t xml:space="preserve">Unidad: </w:t>
      </w:r>
    </w:p>
    <w:p>
      <w:r>
        <w:t>VALOR DEL SERVICIO: 50.0 $</w:t>
      </w:r>
    </w:p>
    <w:p>
      <w:r>
        <w:rPr>
          <w:b w:val="true"/>
        </w:rPr>
        <w:t xml:space="preserve">                                                           CONDICIONES: </w:t>
      </w:r>
    </w:p>
    <w:p>
      <w:r>
        <w:t>1- El presente presupuesto tiene una validez de 25 días.</w:t>
      </w:r>
    </w:p>
    <w:p>
      <w:r>
        <w:t>2- Está basado según dimensiones, lugar de carga y descarga, en caso de ser modificado se deberá realizar otro presupuesto.</w:t>
      </w:r>
    </w:p>
    <w:p>
      <w:r>
        <w:t>3- En caso de cancelación de servicio 24hs antes de la fecha confirmada se deberá abonar el 50% del valor de estadía. En caso de no realizarse la carga estando el equipo a disposición para cargar, se deberá abonar el valor de una estadía en concepto de movilización de la unidad.</w:t>
      </w:r>
    </w:p>
    <w:p>
      <w:r>
        <w:t xml:space="preserve">4- Condición de pago: 
Servicios locales/larga distancia semirremolques: contra entrega de factura hasta 30 días.
Servicios de carretón larga distancia: 25% de adelanto, saldo restante contra entrega de factura hasta 35 días.
</w:t>
      </w:r>
    </w:p>
    <w:p>
      <w:r>
        <w:t xml:space="preserve">5- La solicitud y confirmación del servicio debe ser con un mínimo de:
Servicios de semirremolques/hidrogrua/grua: 48hs hábiles.
Servicios locales sobredimensionado hasta 45 ton: 72hs hábiles.
Servicios mayores a 450 km sobredimensionado hasta 45 ton: 4 días hábiles.
Servicios mayores a 450 km sobredimensionado mayores a 45 ton: 8 días hábiles.
</w:t>
      </w:r>
    </w:p>
    <w:p>
      <w:r>
        <w:t>6- El precio incluye: servicio de transporte y permisos de vialidad (en caso de corresponder). No incluye: carga, descarga, ni seguro de transporte.</w:t>
      </w:r>
    </w:p>
    <w:p>
      <w:r>
        <w:t>7- La solicitud de los requisitos de documentación debe ser con un mínimo de 3 días hábiles, en caso de no ser así y se generen demoras para el ingreso a planta por falta de ésta, se deberán contemplar un valor de estadía diaria por cada día demorado.</w:t>
      </w:r>
    </w:p>
    <w:p>
      <w:r>
        <w:t xml:space="preserve">8- Franquicias:
 Servicios de semirremolques locales (hasta 200km): en el término del día.
Servicios locales sobredimensionado hasta 45 ton (hasta 200Km): en el término del día.
Servicios mayores a 200 km: 6hs para la carga y 6hs para la descarga.
Servicios mayores a 500 km: 8 hs para la carga y 8 para la descarga.
Servicio de hidrogrua: 4hs mínimo.
Servicio de grúa: 8 hs mínimo.
-	En caso de superar dicho plazo se deberá adicionar un valor de estadía cada 24hs.
</w:t>
      </w:r>
    </w:p>
    <w:p>
      <w:r>
        <w:rPr>
          <w:b w:val="true"/>
        </w:rPr>
        <w:t>9- Todos los valores son más IVA.</w:t>
      </w:r>
    </w:p>
    <w:p>
      <w:r>
        <w:t>10- Para aquellas cargas mayores o iguales a un alto/ancho de 4,00m. Los valores mencionados quedan sujetos a costo resultante por remoción de obstáculos. En caso de ser adjudicados con la contratación se realizará un relevamiento de ruta en donde se indicará si será necesario y en caso de serlo el costo del mismo.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2021-03-04T23:25:17Z</dcterms:created>
  <dc:creator>Apache POI</dc:creator>
</cp:coreProperties>
</file>